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5C1530" w:rsidRDefault="004D42B9" w:rsidP="00E852A9">
      <w:pPr>
        <w:rPr>
          <w:lang w:val="tr-TR"/>
        </w:rPr>
      </w:pPr>
      <w:r w:rsidRPr="005C1530">
        <w:rPr>
          <w:noProof/>
          <w:lang w:val="tr-TR"/>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C019C4" w14:textId="77777777" w:rsidR="00263268" w:rsidRPr="00263268" w:rsidRDefault="00263268" w:rsidP="00263268">
      <w:pPr>
        <w:pStyle w:val="Heading9"/>
        <w:rPr>
          <w:bCs/>
          <w:sz w:val="56"/>
          <w:szCs w:val="18"/>
          <w:lang w:val="tr-TR"/>
        </w:rPr>
      </w:pPr>
      <w:bookmarkStart w:id="0" w:name="_Toc522623217"/>
      <w:r w:rsidRPr="00263268">
        <w:rPr>
          <w:bCs/>
          <w:sz w:val="56"/>
          <w:szCs w:val="18"/>
          <w:lang w:val="tr-TR"/>
        </w:rPr>
        <w:t>CPHA - CPMS Öğrenme Paketi</w:t>
      </w:r>
    </w:p>
    <w:p w14:paraId="795782A3" w14:textId="16A95C35" w:rsidR="00EA546B" w:rsidRPr="005C1530" w:rsidRDefault="00263268" w:rsidP="00263268">
      <w:pPr>
        <w:pStyle w:val="Heading9"/>
        <w:rPr>
          <w:bCs/>
          <w:sz w:val="56"/>
          <w:szCs w:val="18"/>
          <w:lang w:val="tr-TR"/>
        </w:rPr>
      </w:pPr>
      <w:r w:rsidRPr="005C1530">
        <w:rPr>
          <w:bCs/>
          <w:sz w:val="56"/>
          <w:szCs w:val="18"/>
          <w:lang w:val="tr-TR"/>
        </w:rPr>
        <w:t>Oturum Başlığı:  Kaliteli bir Müdahale için Standartlar</w:t>
      </w:r>
    </w:p>
    <w:p w14:paraId="6704040C" w14:textId="77777777" w:rsidR="00903A62" w:rsidRPr="005C1530" w:rsidRDefault="00903A62" w:rsidP="00E852A9">
      <w:pPr>
        <w:rPr>
          <w:lang w:val="tr-TR"/>
        </w:rPr>
      </w:pPr>
    </w:p>
    <w:p w14:paraId="358DD791" w14:textId="77777777" w:rsidR="002A26BD" w:rsidRPr="005C1530" w:rsidRDefault="002A26BD" w:rsidP="00E852A9">
      <w:pPr>
        <w:rPr>
          <w:lang w:val="tr-TR"/>
        </w:rPr>
      </w:pPr>
    </w:p>
    <w:bookmarkEnd w:id="0"/>
    <w:p w14:paraId="5B83ECED" w14:textId="77777777" w:rsidR="00577E15" w:rsidRPr="005C1530" w:rsidRDefault="00577E15" w:rsidP="00577E15">
      <w:pPr>
        <w:pStyle w:val="1Heading1"/>
        <w:rPr>
          <w:lang w:val="tr-TR"/>
        </w:rPr>
      </w:pPr>
      <w:r w:rsidRPr="005C1530">
        <w:rPr>
          <w:lang w:val="tr-TR"/>
        </w:rPr>
        <w:t>Hedefler</w:t>
      </w:r>
    </w:p>
    <w:p w14:paraId="7E667216" w14:textId="77777777" w:rsidR="00577E15" w:rsidRPr="005C1530" w:rsidRDefault="00577E15" w:rsidP="00577E15">
      <w:pPr>
        <w:pStyle w:val="TableSmallBlueHeading"/>
        <w:rPr>
          <w:lang w:val="tr-TR"/>
        </w:rPr>
      </w:pPr>
      <w:r w:rsidRPr="005C1530">
        <w:rPr>
          <w:lang w:val="tr-TR"/>
        </w:rPr>
        <w:t>Bu kursun sonunda aşağıdakileri yapabilecek yetkinliğe sahip olacaksınız:</w:t>
      </w:r>
    </w:p>
    <w:p w14:paraId="3B33BE70" w14:textId="77777777" w:rsidR="00577E15" w:rsidRPr="00003AB8" w:rsidRDefault="00577E15" w:rsidP="00003AB8">
      <w:pPr>
        <w:pStyle w:val="NormalTextBulletsLevel1"/>
        <w:numPr>
          <w:ilvl w:val="0"/>
          <w:numId w:val="15"/>
        </w:numPr>
        <w:ind w:left="641" w:hanging="357"/>
      </w:pPr>
      <w:r w:rsidRPr="00003AB8">
        <w:t>CPMS dahilinde kaliteli bir müdahale için standartları hatırlamak</w:t>
      </w:r>
    </w:p>
    <w:p w14:paraId="4B1D9FAF" w14:textId="77777777" w:rsidR="00577E15" w:rsidRPr="00003AB8" w:rsidRDefault="00577E15" w:rsidP="00003AB8">
      <w:pPr>
        <w:pStyle w:val="NormalTextBulletsLevel1"/>
        <w:numPr>
          <w:ilvl w:val="0"/>
          <w:numId w:val="15"/>
        </w:numPr>
        <w:ind w:left="641" w:hanging="357"/>
      </w:pPr>
      <w:r w:rsidRPr="00003AB8">
        <w:t>İnsani yardım ortamlarında koordinasyona ilişkin temel hususlarda önerilerde bulunmak</w:t>
      </w:r>
    </w:p>
    <w:p w14:paraId="4A83E3FA" w14:textId="77777777" w:rsidR="00577E15" w:rsidRPr="00003AB8" w:rsidRDefault="00577E15" w:rsidP="00003AB8">
      <w:pPr>
        <w:pStyle w:val="NormalTextBulletsLevel1"/>
        <w:numPr>
          <w:ilvl w:val="0"/>
          <w:numId w:val="15"/>
        </w:numPr>
        <w:ind w:left="641" w:hanging="357"/>
      </w:pPr>
      <w:r w:rsidRPr="00003AB8">
        <w:t>İnsani yardım ortamlarında proje döngüsü yönetimine ilişkin temel hususlarda önerilerde bulunmak</w:t>
      </w:r>
    </w:p>
    <w:p w14:paraId="5095F05F" w14:textId="77777777" w:rsidR="00577E15" w:rsidRPr="005C1530" w:rsidRDefault="00577E15" w:rsidP="00577E15">
      <w:pPr>
        <w:pStyle w:val="1Heading1"/>
        <w:rPr>
          <w:lang w:val="tr-TR"/>
        </w:rPr>
      </w:pPr>
      <w:r w:rsidRPr="005C1530">
        <w:rPr>
          <w:lang w:val="tr-TR"/>
        </w:rPr>
        <w:t>Temel Öğrenme Noktaları</w:t>
      </w:r>
    </w:p>
    <w:p w14:paraId="23334707" w14:textId="77777777" w:rsidR="00577E15" w:rsidRPr="005C1530" w:rsidRDefault="00577E15" w:rsidP="00577E15">
      <w:pPr>
        <w:rPr>
          <w:i/>
          <w:iCs/>
          <w:lang w:val="tr-TR"/>
        </w:rPr>
      </w:pPr>
      <w:r w:rsidRPr="005C1530">
        <w:rPr>
          <w:i/>
          <w:iCs/>
          <w:lang w:val="tr-TR"/>
        </w:rPr>
        <w:t xml:space="preserve">Aşağıda listelenen temel öğrenme noktalarına ilişkin içeriği daha detaylı olarak keşfetmek için lütfen oturumun sonundaki "Ek Kaynaklar" bölümünü referans alın. </w:t>
      </w:r>
    </w:p>
    <w:p w14:paraId="01389B35" w14:textId="77777777" w:rsidR="00577E15" w:rsidRPr="005C1530" w:rsidRDefault="00577E15" w:rsidP="00577E15">
      <w:pPr>
        <w:rPr>
          <w:lang w:val="tr-TR"/>
        </w:rPr>
      </w:pPr>
      <w:r w:rsidRPr="005C1530">
        <w:rPr>
          <w:lang w:val="tr-TR"/>
        </w:rPr>
        <w:t>Bir ile altı arasındaki standartlar aşağıdaki temel programlama bileşenlerine odaklanırlar:</w:t>
      </w:r>
    </w:p>
    <w:p w14:paraId="73A6F48D" w14:textId="77777777" w:rsidR="00577E15" w:rsidRPr="00003AB8" w:rsidRDefault="00577E15" w:rsidP="00003AB8">
      <w:pPr>
        <w:pStyle w:val="NormalTextBulletsLevel1"/>
        <w:numPr>
          <w:ilvl w:val="0"/>
          <w:numId w:val="15"/>
        </w:numPr>
        <w:ind w:left="641" w:hanging="357"/>
      </w:pPr>
      <w:r w:rsidRPr="00003AB8">
        <w:lastRenderedPageBreak/>
        <w:t xml:space="preserve"> Koordinasyon;</w:t>
      </w:r>
    </w:p>
    <w:p w14:paraId="6700BD2F" w14:textId="77777777" w:rsidR="00577E15" w:rsidRPr="00003AB8" w:rsidRDefault="00577E15" w:rsidP="00003AB8">
      <w:pPr>
        <w:pStyle w:val="NormalTextBulletsLevel1"/>
        <w:numPr>
          <w:ilvl w:val="0"/>
          <w:numId w:val="15"/>
        </w:numPr>
        <w:ind w:left="641" w:hanging="357"/>
      </w:pPr>
      <w:r w:rsidRPr="00003AB8">
        <w:t xml:space="preserve"> İnsan Kaynakları;</w:t>
      </w:r>
    </w:p>
    <w:p w14:paraId="226691F6" w14:textId="77777777" w:rsidR="00577E15" w:rsidRPr="00003AB8" w:rsidRDefault="00577E15" w:rsidP="00003AB8">
      <w:pPr>
        <w:pStyle w:val="NormalTextBulletsLevel1"/>
        <w:numPr>
          <w:ilvl w:val="0"/>
          <w:numId w:val="15"/>
        </w:numPr>
        <w:ind w:left="641" w:hanging="357"/>
      </w:pPr>
      <w:r w:rsidRPr="00003AB8">
        <w:t xml:space="preserve"> İletişim ve savunma;</w:t>
      </w:r>
    </w:p>
    <w:p w14:paraId="53FA54B2" w14:textId="77777777" w:rsidR="00577E15" w:rsidRPr="00003AB8" w:rsidRDefault="00577E15" w:rsidP="00003AB8">
      <w:pPr>
        <w:pStyle w:val="NormalTextBulletsLevel1"/>
        <w:numPr>
          <w:ilvl w:val="0"/>
          <w:numId w:val="15"/>
        </w:numPr>
        <w:ind w:left="641" w:hanging="357"/>
      </w:pPr>
      <w:r w:rsidRPr="00003AB8">
        <w:t xml:space="preserve"> Program döngüsü yönetimi;</w:t>
      </w:r>
    </w:p>
    <w:p w14:paraId="459011B2" w14:textId="77777777" w:rsidR="00577E15" w:rsidRPr="00003AB8" w:rsidRDefault="00577E15" w:rsidP="00003AB8">
      <w:pPr>
        <w:pStyle w:val="NormalTextBulletsLevel1"/>
        <w:numPr>
          <w:ilvl w:val="0"/>
          <w:numId w:val="15"/>
        </w:numPr>
        <w:ind w:left="641" w:hanging="357"/>
      </w:pPr>
      <w:r w:rsidRPr="00003AB8">
        <w:t xml:space="preserve"> Bilgi yönetimi; ve</w:t>
      </w:r>
    </w:p>
    <w:p w14:paraId="4303BC1F" w14:textId="77777777" w:rsidR="00577E15" w:rsidRPr="00003AB8" w:rsidRDefault="00577E15" w:rsidP="00003AB8">
      <w:pPr>
        <w:pStyle w:val="NormalTextBulletsLevel1"/>
        <w:numPr>
          <w:ilvl w:val="0"/>
          <w:numId w:val="15"/>
        </w:numPr>
        <w:ind w:left="641" w:hanging="357"/>
      </w:pPr>
      <w:r w:rsidRPr="00003AB8">
        <w:t xml:space="preserve"> Çocuk koruma takibi.</w:t>
      </w:r>
    </w:p>
    <w:p w14:paraId="2B234B96" w14:textId="77777777" w:rsidR="00577E15" w:rsidRPr="005C1530" w:rsidRDefault="00577E15" w:rsidP="00577E15">
      <w:pPr>
        <w:rPr>
          <w:highlight w:val="white"/>
          <w:lang w:val="tr-TR"/>
        </w:rPr>
      </w:pPr>
      <w:r w:rsidRPr="005C1530">
        <w:rPr>
          <w:highlight w:val="white"/>
          <w:lang w:val="tr-TR"/>
        </w:rPr>
        <w:t>CPHA programlamasının kalitesini garanti etmek amacıyla, insani yardım bağlamı içindeki her bir çalışma alanına çocuk koruma odaklı bir bakış açısı sağlarlar.</w:t>
      </w:r>
    </w:p>
    <w:p w14:paraId="04178C71" w14:textId="77777777" w:rsidR="00577E15" w:rsidRPr="005C1530" w:rsidRDefault="00577E15" w:rsidP="00577E15">
      <w:pPr>
        <w:rPr>
          <w:highlight w:val="white"/>
          <w:lang w:val="tr-TR"/>
        </w:rPr>
      </w:pPr>
      <w:r w:rsidRPr="005C1530">
        <w:rPr>
          <w:highlight w:val="white"/>
          <w:lang w:val="tr-TR"/>
        </w:rPr>
        <w:t>Etkili koordinasyon, insani yardım faaliyetlerinde bilgi paylaşımının desteklenmesi, ortak karar alma ve ortak hedeflerin belirlenmesi gibi birçok farklı role hizmet eder. Mükerrerliğin önlenmesine yardımcı olurken insani yardım aktörlerinin, daha geniş bir erişim ve etki sağlamak üzere, üzerinde anlaşılmış roller ve sorumluluklarla mevcut sistemler ve yapılar üzerine inşa etmelerini destekler. Etkili koordinasyon çocukların, ailelerin ve toplumların dayanıklılığını güçlendirme potansiyeline sahiptir. Zayıf koordinasyon, insani yardım müdahalelerinin etkinliğini ve verimliliğini azaltır ve zararla sonuçlanma ihtimali vardır</w:t>
      </w:r>
    </w:p>
    <w:p w14:paraId="16738CF4" w14:textId="77777777" w:rsidR="00577E15" w:rsidRPr="005C1530" w:rsidRDefault="00577E15" w:rsidP="00577E15">
      <w:pPr>
        <w:rPr>
          <w:highlight w:val="white"/>
          <w:lang w:val="tr-TR"/>
        </w:rPr>
      </w:pPr>
      <w:r w:rsidRPr="005C1530">
        <w:rPr>
          <w:highlight w:val="white"/>
          <w:lang w:val="tr-TR"/>
        </w:rPr>
        <w:t>Program döngüsü yönetimi (PCM), programların tasarlanması, planlanması, yönetilmesi, takip edilmesi ve değerlendirilmesini kapsayan döngüsel bir süreçtir. İnsani yardım müdahalelerinin kalitesini ve güvenilirliğini artırmak için programlamaya rehberlik eden bir çerçeve niteliğindedir. Bu standart, çocuk gelişimi ve çocuk hakları ile ilgili hususları insani yardım etkinliklerine entegre ederek PCM'ye bir çocuk koruma odağı kazandırmaktadır. Program döngüsü beş ana aşamadan oluşmaktadır: (1) hazırlıklı olmak; (2) ihtiyaçların değerlendirilmesi ve durum analizi; (3) tasarım ve planlama; (4) uygulama ve takip; ve (5) değerlendirme ve öğrenme</w:t>
      </w:r>
    </w:p>
    <w:p w14:paraId="69F329D1" w14:textId="77777777" w:rsidR="00577E15" w:rsidRPr="005C1530" w:rsidRDefault="00577E15" w:rsidP="00577E15">
      <w:pPr>
        <w:rPr>
          <w:highlight w:val="white"/>
          <w:lang w:val="tr-TR"/>
        </w:rPr>
      </w:pPr>
      <w:r w:rsidRPr="005C1530">
        <w:rPr>
          <w:highlight w:val="white"/>
          <w:lang w:val="tr-TR"/>
        </w:rPr>
        <w:t xml:space="preserve">Kaliteli bir CP müdahalesi sağlamak üzere kilit PCM eylemleri aşağıdaki hususları içerir: </w:t>
      </w:r>
    </w:p>
    <w:p w14:paraId="30982FD3" w14:textId="77777777" w:rsidR="00577E15" w:rsidRPr="005C1530" w:rsidRDefault="00577E15" w:rsidP="00003AB8">
      <w:pPr>
        <w:pStyle w:val="NormalTextBulletsLevel1"/>
        <w:numPr>
          <w:ilvl w:val="0"/>
          <w:numId w:val="31"/>
        </w:numPr>
        <w:spacing w:after="100" w:line="288" w:lineRule="auto"/>
        <w:ind w:left="851"/>
        <w:contextualSpacing w:val="0"/>
        <w:rPr>
          <w:lang w:val="tr-TR"/>
        </w:rPr>
      </w:pPr>
      <w:r w:rsidRPr="005C1530">
        <w:rPr>
          <w:b/>
          <w:bCs/>
          <w:lang w:val="tr-TR"/>
        </w:rPr>
        <w:t>Hazırlıklı olmak:</w:t>
      </w:r>
      <w:r w:rsidRPr="005C1530">
        <w:rPr>
          <w:lang w:val="tr-TR"/>
        </w:rPr>
        <w:t xml:space="preserve"> çocukluk ve çocuk koruma risklerini, ihtiyaçlarını ve kapasitelerini anlamak. Bu, haritalamalara katkıda bulunmayı ve personel kapasitesini güçlendirmeyi de içerebilir. </w:t>
      </w:r>
    </w:p>
    <w:p w14:paraId="596F7B4E" w14:textId="77777777" w:rsidR="00577E15" w:rsidRPr="005C1530" w:rsidRDefault="00577E15" w:rsidP="00003AB8">
      <w:pPr>
        <w:pStyle w:val="NormalTextBulletsLevel1"/>
        <w:numPr>
          <w:ilvl w:val="0"/>
          <w:numId w:val="31"/>
        </w:numPr>
        <w:spacing w:after="100" w:line="288" w:lineRule="auto"/>
        <w:ind w:left="851"/>
        <w:contextualSpacing w:val="0"/>
        <w:rPr>
          <w:lang w:val="tr-TR"/>
        </w:rPr>
      </w:pPr>
      <w:r w:rsidRPr="005C1530">
        <w:rPr>
          <w:lang w:val="tr-TR"/>
        </w:rPr>
        <w:lastRenderedPageBreak/>
        <w:t>İhtiyaçların değerlendirilmesi ve durum analizi: durum analizlerine ve analiz planlarının geliştirilmesine katkıda bulunmak, ikincil verilerin incelenmesine destek olmak, veri analiz ekiplerini seçmek ve eğitmek, bulguların zamanında ve erişilebilir bir şekilde paylaşılması.</w:t>
      </w:r>
    </w:p>
    <w:p w14:paraId="24DA4E62" w14:textId="77777777" w:rsidR="00577E15" w:rsidRPr="005C1530" w:rsidRDefault="00577E15" w:rsidP="00003AB8">
      <w:pPr>
        <w:pStyle w:val="NormalTextBulletsLevel1"/>
        <w:numPr>
          <w:ilvl w:val="0"/>
          <w:numId w:val="31"/>
        </w:numPr>
        <w:spacing w:after="100" w:line="288" w:lineRule="auto"/>
        <w:ind w:left="851"/>
        <w:contextualSpacing w:val="0"/>
        <w:rPr>
          <w:lang w:val="tr-TR"/>
        </w:rPr>
      </w:pPr>
      <w:r w:rsidRPr="005C1530">
        <w:rPr>
          <w:b/>
          <w:bCs/>
          <w:lang w:val="tr-TR"/>
        </w:rPr>
        <w:t>Tasarım ve planlama</w:t>
      </w:r>
      <w:r w:rsidRPr="005C1530">
        <w:rPr>
          <w:lang w:val="tr-TR"/>
        </w:rPr>
        <w:t>: durum analizine ve belirlenen ihtiyaçlara dayalı programlar tasarlamak, erken müdahale aşamasında hayat kurtarıcı eylemlere öncelik vermek ve daha uzun vadeli yaklaşımlara geçiş yapmak, programların ilgili, kapsayıcı ve dayanıklılığı destekleyici olmasını sağlamak için çocukların ve toplulukların dahil edilmesi.</w:t>
      </w:r>
    </w:p>
    <w:p w14:paraId="65FDC06B" w14:textId="77777777" w:rsidR="00577E15" w:rsidRPr="005C1530" w:rsidRDefault="00577E15" w:rsidP="00003AB8">
      <w:pPr>
        <w:pStyle w:val="NormalTextBulletsLevel1"/>
        <w:numPr>
          <w:ilvl w:val="0"/>
          <w:numId w:val="31"/>
        </w:numPr>
        <w:spacing w:after="100" w:line="288" w:lineRule="auto"/>
        <w:ind w:left="851"/>
        <w:contextualSpacing w:val="0"/>
        <w:rPr>
          <w:lang w:val="tr-TR"/>
        </w:rPr>
      </w:pPr>
      <w:r w:rsidRPr="005C1530">
        <w:rPr>
          <w:b/>
          <w:bCs/>
          <w:lang w:val="tr-TR"/>
        </w:rPr>
        <w:t>Uygulama ve takip</w:t>
      </w:r>
      <w:r w:rsidRPr="005C1530">
        <w:rPr>
          <w:lang w:val="tr-TR"/>
        </w:rPr>
        <w:t>: program planlarını ve hizmetlerini kapsayıcı ve erişilebilir bir şekilde sunmak, program kalitesini, çıktılarını, sonuçlarını ve mümkünse etkisini takip etmek, riskleri ve programın arzu edilmeden gelişen olumsuz sonuçlarını analiz etmek ve azaltmak.</w:t>
      </w:r>
    </w:p>
    <w:p w14:paraId="52CBB943" w14:textId="77777777" w:rsidR="00577E15" w:rsidRPr="005C1530" w:rsidRDefault="00577E15" w:rsidP="00003AB8">
      <w:pPr>
        <w:pStyle w:val="NormalTextBulletsLevel1"/>
        <w:numPr>
          <w:ilvl w:val="0"/>
          <w:numId w:val="31"/>
        </w:numPr>
        <w:spacing w:after="100" w:line="288" w:lineRule="auto"/>
        <w:ind w:left="851"/>
        <w:contextualSpacing w:val="0"/>
        <w:rPr>
          <w:lang w:val="tr-TR"/>
        </w:rPr>
      </w:pPr>
      <w:r w:rsidRPr="005C1530">
        <w:rPr>
          <w:b/>
          <w:bCs/>
          <w:lang w:val="tr-TR"/>
        </w:rPr>
        <w:t>Değerlendirme ve öğrenme</w:t>
      </w:r>
      <w:r w:rsidRPr="005C1530">
        <w:rPr>
          <w:lang w:val="tr-TR"/>
        </w:rPr>
        <w:t>: bulguları ve elde edilen öğrenmeyi tüm paydaşlarla aktarın, ortak öğrenme girişimlerine ve değerlendirmelerine katılım sağlayın, öğrendiklerinizi programları ayarlamak ve gelecekteki tasarımları bilgilendirmek için kullanın.</w:t>
      </w:r>
    </w:p>
    <w:p w14:paraId="4B6C2CDD" w14:textId="77777777" w:rsidR="00577E15" w:rsidRPr="005C1530" w:rsidRDefault="00577E15" w:rsidP="00577E15">
      <w:pPr>
        <w:pStyle w:val="1Heading1"/>
        <w:rPr>
          <w:lang w:val="tr-TR"/>
        </w:rPr>
      </w:pPr>
      <w:r w:rsidRPr="005C1530">
        <w:rPr>
          <w:lang w:val="tr-TR"/>
        </w:rPr>
        <w:t>Oturum taslağı</w:t>
      </w:r>
    </w:p>
    <w:p w14:paraId="1001E631" w14:textId="6C2CF366" w:rsidR="00577E15" w:rsidRPr="005C1530" w:rsidRDefault="00577E15" w:rsidP="002D1058">
      <w:pPr>
        <w:pStyle w:val="Mormal03CMIndent"/>
        <w:ind w:left="0"/>
        <w:rPr>
          <w:lang w:val="tr-TR"/>
        </w:rPr>
      </w:pPr>
      <w:r w:rsidRPr="005C1530">
        <w:rPr>
          <w:lang w:val="tr-TR"/>
        </w:rPr>
        <w:t>*</w:t>
      </w:r>
      <w:r w:rsidR="002D1058" w:rsidRPr="005C1530">
        <w:rPr>
          <w:lang w:val="tr-TR"/>
        </w:rPr>
        <w:t xml:space="preserve"> </w:t>
      </w:r>
      <w:r w:rsidRPr="005C1530">
        <w:rPr>
          <w:lang w:val="tr-TR"/>
        </w:rPr>
        <w:t xml:space="preserve">Molalardan yararlanın ve gerektiğinde enerji vericileri dahil edinn </w:t>
      </w:r>
    </w:p>
    <w:tbl>
      <w:tblPr>
        <w:tblW w:w="14175"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5669"/>
        <w:gridCol w:w="3260"/>
      </w:tblGrid>
      <w:tr w:rsidR="00106CE9" w:rsidRPr="005C1530" w14:paraId="7CBBE7CB" w14:textId="77777777" w:rsidTr="00106CE9">
        <w:trPr>
          <w:trHeight w:val="452"/>
        </w:trPr>
        <w:tc>
          <w:tcPr>
            <w:tcW w:w="5246" w:type="dxa"/>
            <w:shd w:val="clear" w:color="auto" w:fill="415E78"/>
            <w:tcMar>
              <w:top w:w="0" w:type="dxa"/>
              <w:left w:w="0" w:type="dxa"/>
              <w:bottom w:w="0" w:type="dxa"/>
              <w:right w:w="0" w:type="dxa"/>
            </w:tcMar>
            <w:vAlign w:val="center"/>
          </w:tcPr>
          <w:p w14:paraId="137BD724" w14:textId="09213BFC" w:rsidR="00106CE9" w:rsidRPr="005C1530" w:rsidRDefault="00AD45CF" w:rsidP="00106CE9">
            <w:pPr>
              <w:pStyle w:val="TableWhiteHeadings"/>
              <w:rPr>
                <w:rFonts w:ascii="Open Sans" w:hAnsi="Open Sans" w:cs="Open Sans"/>
                <w:lang w:val="tr-TR"/>
              </w:rPr>
            </w:pPr>
            <w:r w:rsidRPr="005C1530">
              <w:rPr>
                <w:lang w:val="tr-TR"/>
              </w:rPr>
              <w:t xml:space="preserve"> </w:t>
            </w:r>
            <w:r w:rsidR="00106CE9" w:rsidRPr="005C1530">
              <w:rPr>
                <w:rFonts w:ascii="Open Sans" w:hAnsi="Open Sans" w:cs="Open Sans"/>
                <w:lang w:val="tr-TR"/>
              </w:rPr>
              <w:t>Konu</w:t>
            </w:r>
          </w:p>
        </w:tc>
        <w:tc>
          <w:tcPr>
            <w:tcW w:w="5669" w:type="dxa"/>
            <w:shd w:val="clear" w:color="auto" w:fill="415E78"/>
            <w:tcMar>
              <w:top w:w="0" w:type="dxa"/>
              <w:left w:w="0" w:type="dxa"/>
              <w:bottom w:w="0" w:type="dxa"/>
              <w:right w:w="0" w:type="dxa"/>
            </w:tcMar>
            <w:vAlign w:val="center"/>
          </w:tcPr>
          <w:p w14:paraId="10F940F8" w14:textId="15D7E80C" w:rsidR="00106CE9" w:rsidRPr="005C1530" w:rsidRDefault="00106CE9" w:rsidP="00106CE9">
            <w:pPr>
              <w:pStyle w:val="TableWhiteHeadings"/>
              <w:rPr>
                <w:rFonts w:ascii="Open Sans" w:hAnsi="Open Sans" w:cs="Open Sans"/>
                <w:lang w:val="tr-TR"/>
              </w:rPr>
            </w:pPr>
            <w:r w:rsidRPr="005C1530">
              <w:rPr>
                <w:rFonts w:ascii="Open Sans" w:hAnsi="Open Sans" w:cs="Open Sans"/>
                <w:lang w:val="tr-TR"/>
              </w:rPr>
              <w:t>Metodoloji</w:t>
            </w:r>
          </w:p>
        </w:tc>
        <w:tc>
          <w:tcPr>
            <w:tcW w:w="3260" w:type="dxa"/>
            <w:shd w:val="clear" w:color="auto" w:fill="415E78"/>
            <w:tcMar>
              <w:top w:w="0" w:type="dxa"/>
              <w:left w:w="0" w:type="dxa"/>
              <w:bottom w:w="0" w:type="dxa"/>
              <w:right w:w="0" w:type="dxa"/>
            </w:tcMar>
            <w:vAlign w:val="center"/>
          </w:tcPr>
          <w:p w14:paraId="453E291C" w14:textId="3D629408" w:rsidR="00106CE9" w:rsidRPr="005C1530" w:rsidRDefault="00106CE9" w:rsidP="00106CE9">
            <w:pPr>
              <w:pStyle w:val="TableWhiteHeadings"/>
              <w:rPr>
                <w:rFonts w:ascii="Open Sans" w:hAnsi="Open Sans" w:cs="Open Sans"/>
                <w:lang w:val="tr-TR"/>
              </w:rPr>
            </w:pPr>
            <w:r w:rsidRPr="005C1530">
              <w:rPr>
                <w:rFonts w:ascii="Open Sans" w:hAnsi="Open Sans" w:cs="Open Sans"/>
                <w:lang w:val="tr-TR"/>
              </w:rPr>
              <w:t>Zaman</w:t>
            </w:r>
          </w:p>
        </w:tc>
      </w:tr>
      <w:tr w:rsidR="00106CE9" w:rsidRPr="005C1530" w14:paraId="3C9B36A7" w14:textId="77777777" w:rsidTr="00106CE9">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6B233C24" w:rsidR="00106CE9" w:rsidRPr="005C1530" w:rsidRDefault="00106CE9" w:rsidP="00106CE9">
            <w:pPr>
              <w:pStyle w:val="NormalFontForTable"/>
              <w:rPr>
                <w:lang w:val="tr-TR"/>
              </w:rPr>
            </w:pPr>
            <w:r w:rsidRPr="005C1530">
              <w:rPr>
                <w:lang w:val="tr-TR"/>
              </w:rPr>
              <w:t>Hoş geldiniz ve giriş</w:t>
            </w:r>
          </w:p>
        </w:tc>
        <w:tc>
          <w:tcPr>
            <w:tcW w:w="5669" w:type="dxa"/>
            <w:shd w:val="clear" w:color="auto" w:fill="F2F2F2" w:themeFill="background1" w:themeFillShade="F2"/>
            <w:tcMar>
              <w:top w:w="0" w:type="dxa"/>
              <w:left w:w="0" w:type="dxa"/>
              <w:bottom w:w="0" w:type="dxa"/>
              <w:right w:w="0" w:type="dxa"/>
            </w:tcMar>
            <w:vAlign w:val="center"/>
          </w:tcPr>
          <w:p w14:paraId="6ABC1EC0" w14:textId="11306F1D" w:rsidR="00106CE9" w:rsidRPr="005C1530" w:rsidRDefault="00106CE9" w:rsidP="00106CE9">
            <w:pPr>
              <w:pStyle w:val="NormalFontForTable"/>
              <w:rPr>
                <w:lang w:val="tr-TR"/>
              </w:rPr>
            </w:pPr>
            <w:r w:rsidRPr="005C1530">
              <w:rPr>
                <w:lang w:val="tr-TR"/>
              </w:rPr>
              <w:t>Genel grup</w:t>
            </w:r>
          </w:p>
        </w:tc>
        <w:tc>
          <w:tcPr>
            <w:tcW w:w="3260" w:type="dxa"/>
            <w:shd w:val="clear" w:color="auto" w:fill="F2F2F2" w:themeFill="background1" w:themeFillShade="F2"/>
            <w:tcMar>
              <w:top w:w="0" w:type="dxa"/>
              <w:left w:w="0" w:type="dxa"/>
              <w:bottom w:w="0" w:type="dxa"/>
              <w:right w:w="0" w:type="dxa"/>
            </w:tcMar>
            <w:vAlign w:val="center"/>
          </w:tcPr>
          <w:p w14:paraId="4DF49F97" w14:textId="0BE0D22B" w:rsidR="00106CE9" w:rsidRPr="005C1530" w:rsidRDefault="00106CE9" w:rsidP="00106CE9">
            <w:pPr>
              <w:pStyle w:val="NormalFontForTable"/>
              <w:rPr>
                <w:lang w:val="tr-TR"/>
              </w:rPr>
            </w:pPr>
            <w:r w:rsidRPr="005C1530">
              <w:rPr>
                <w:lang w:val="tr-TR"/>
              </w:rPr>
              <w:t>5 k</w:t>
            </w:r>
          </w:p>
        </w:tc>
      </w:tr>
      <w:tr w:rsidR="00106CE9" w:rsidRPr="005C1530" w14:paraId="61153655" w14:textId="77777777" w:rsidTr="00106CE9">
        <w:trPr>
          <w:trHeight w:val="452"/>
        </w:trPr>
        <w:tc>
          <w:tcPr>
            <w:tcW w:w="5246" w:type="dxa"/>
            <w:shd w:val="clear" w:color="auto" w:fill="FFFFFF"/>
            <w:tcMar>
              <w:top w:w="0" w:type="dxa"/>
              <w:left w:w="0" w:type="dxa"/>
              <w:bottom w:w="0" w:type="dxa"/>
              <w:right w:w="0" w:type="dxa"/>
            </w:tcMar>
            <w:vAlign w:val="center"/>
          </w:tcPr>
          <w:p w14:paraId="298C737F" w14:textId="4559C085" w:rsidR="00106CE9" w:rsidRPr="005C1530" w:rsidRDefault="00106CE9" w:rsidP="00106CE9">
            <w:pPr>
              <w:pStyle w:val="NormalFontForTable"/>
              <w:rPr>
                <w:lang w:val="tr-TR"/>
              </w:rPr>
            </w:pPr>
            <w:r w:rsidRPr="005C1530">
              <w:rPr>
                <w:lang w:val="tr-TR"/>
              </w:rPr>
              <w:t>Kaliteli bir Müdahale için Standartlar</w:t>
            </w:r>
          </w:p>
        </w:tc>
        <w:tc>
          <w:tcPr>
            <w:tcW w:w="5669" w:type="dxa"/>
            <w:shd w:val="clear" w:color="auto" w:fill="FFFFFF"/>
            <w:tcMar>
              <w:top w:w="0" w:type="dxa"/>
              <w:left w:w="0" w:type="dxa"/>
              <w:bottom w:w="0" w:type="dxa"/>
              <w:right w:w="0" w:type="dxa"/>
            </w:tcMar>
            <w:vAlign w:val="center"/>
          </w:tcPr>
          <w:p w14:paraId="0C3785EA" w14:textId="4BA0C428" w:rsidR="00106CE9" w:rsidRPr="005C1530" w:rsidRDefault="00106CE9" w:rsidP="00106CE9">
            <w:pPr>
              <w:pStyle w:val="NormalFontForTable"/>
              <w:rPr>
                <w:lang w:val="tr-TR"/>
              </w:rPr>
            </w:pPr>
            <w:r w:rsidRPr="005C1530">
              <w:rPr>
                <w:lang w:val="tr-TR"/>
              </w:rPr>
              <w:t>Genel grup</w:t>
            </w:r>
          </w:p>
        </w:tc>
        <w:tc>
          <w:tcPr>
            <w:tcW w:w="3260" w:type="dxa"/>
            <w:shd w:val="clear" w:color="auto" w:fill="FFFFFF"/>
            <w:tcMar>
              <w:top w:w="0" w:type="dxa"/>
              <w:left w:w="0" w:type="dxa"/>
              <w:bottom w:w="0" w:type="dxa"/>
              <w:right w:w="0" w:type="dxa"/>
            </w:tcMar>
            <w:vAlign w:val="center"/>
          </w:tcPr>
          <w:p w14:paraId="49190D04" w14:textId="0CE2B3D0" w:rsidR="00106CE9" w:rsidRPr="005C1530" w:rsidRDefault="00106CE9" w:rsidP="00106CE9">
            <w:pPr>
              <w:pStyle w:val="NormalFontForTable"/>
              <w:rPr>
                <w:lang w:val="tr-TR"/>
              </w:rPr>
            </w:pPr>
            <w:r w:rsidRPr="005C1530">
              <w:rPr>
                <w:lang w:val="tr-TR"/>
              </w:rPr>
              <w:t>5 dk</w:t>
            </w:r>
          </w:p>
        </w:tc>
      </w:tr>
      <w:tr w:rsidR="00106CE9" w:rsidRPr="005C1530" w14:paraId="16806087" w14:textId="77777777" w:rsidTr="00106CE9">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0893C469" w:rsidR="00106CE9" w:rsidRPr="005C1530" w:rsidRDefault="00106CE9" w:rsidP="00106CE9">
            <w:pPr>
              <w:pStyle w:val="NormalFontForTable"/>
              <w:rPr>
                <w:lang w:val="tr-TR"/>
              </w:rPr>
            </w:pPr>
            <w:r w:rsidRPr="005C1530">
              <w:rPr>
                <w:lang w:val="tr-TR"/>
              </w:rPr>
              <w:t>Koordinasyon</w:t>
            </w:r>
          </w:p>
        </w:tc>
        <w:tc>
          <w:tcPr>
            <w:tcW w:w="5669" w:type="dxa"/>
            <w:shd w:val="clear" w:color="auto" w:fill="F2F2F2" w:themeFill="background1" w:themeFillShade="F2"/>
            <w:tcMar>
              <w:top w:w="0" w:type="dxa"/>
              <w:left w:w="0" w:type="dxa"/>
              <w:bottom w:w="0" w:type="dxa"/>
              <w:right w:w="0" w:type="dxa"/>
            </w:tcMar>
            <w:vAlign w:val="center"/>
          </w:tcPr>
          <w:p w14:paraId="6CF8201B" w14:textId="3AA0B3F9" w:rsidR="00106CE9" w:rsidRPr="005C1530" w:rsidRDefault="00106CE9" w:rsidP="00106CE9">
            <w:pPr>
              <w:pStyle w:val="NormalFontForTable"/>
              <w:rPr>
                <w:lang w:val="tr-TR"/>
              </w:rPr>
            </w:pPr>
            <w:r w:rsidRPr="005C1530">
              <w:rPr>
                <w:lang w:val="tr-TR"/>
              </w:rPr>
              <w:t>Eşleştirme egzersizi</w:t>
            </w:r>
          </w:p>
        </w:tc>
        <w:tc>
          <w:tcPr>
            <w:tcW w:w="3260" w:type="dxa"/>
            <w:shd w:val="clear" w:color="auto" w:fill="F2F2F2" w:themeFill="background1" w:themeFillShade="F2"/>
            <w:tcMar>
              <w:top w:w="0" w:type="dxa"/>
              <w:left w:w="0" w:type="dxa"/>
              <w:bottom w:w="0" w:type="dxa"/>
              <w:right w:w="0" w:type="dxa"/>
            </w:tcMar>
            <w:vAlign w:val="center"/>
          </w:tcPr>
          <w:p w14:paraId="05F4AC3D" w14:textId="253AA0CE" w:rsidR="00106CE9" w:rsidRPr="005C1530" w:rsidRDefault="00106CE9" w:rsidP="00106CE9">
            <w:pPr>
              <w:pStyle w:val="NormalFontForTable"/>
              <w:rPr>
                <w:lang w:val="tr-TR"/>
              </w:rPr>
            </w:pPr>
            <w:r w:rsidRPr="005C1530">
              <w:rPr>
                <w:lang w:val="tr-TR"/>
              </w:rPr>
              <w:t>15 dk</w:t>
            </w:r>
          </w:p>
        </w:tc>
      </w:tr>
      <w:tr w:rsidR="00106CE9" w:rsidRPr="005C1530" w14:paraId="22AFDF3E" w14:textId="77777777" w:rsidTr="00106CE9">
        <w:trPr>
          <w:trHeight w:val="452"/>
        </w:trPr>
        <w:tc>
          <w:tcPr>
            <w:tcW w:w="5246" w:type="dxa"/>
            <w:shd w:val="clear" w:color="auto" w:fill="FFFFFF"/>
            <w:tcMar>
              <w:top w:w="0" w:type="dxa"/>
              <w:left w:w="0" w:type="dxa"/>
              <w:bottom w:w="0" w:type="dxa"/>
              <w:right w:w="0" w:type="dxa"/>
            </w:tcMar>
            <w:vAlign w:val="center"/>
          </w:tcPr>
          <w:p w14:paraId="5603CFA4" w14:textId="74EED2FD" w:rsidR="00106CE9" w:rsidRPr="005C1530" w:rsidRDefault="00106CE9" w:rsidP="00043F66">
            <w:pPr>
              <w:pStyle w:val="NormalFontForTable"/>
              <w:rPr>
                <w:lang w:val="tr-TR"/>
              </w:rPr>
            </w:pPr>
            <w:r w:rsidRPr="005C1530">
              <w:rPr>
                <w:lang w:val="tr-TR"/>
              </w:rPr>
              <w:t xml:space="preserve">CPMS'den PCM temel aksiyonları </w:t>
            </w:r>
          </w:p>
        </w:tc>
        <w:tc>
          <w:tcPr>
            <w:tcW w:w="5669" w:type="dxa"/>
            <w:shd w:val="clear" w:color="auto" w:fill="FFFFFF"/>
            <w:tcMar>
              <w:top w:w="0" w:type="dxa"/>
              <w:left w:w="0" w:type="dxa"/>
              <w:bottom w:w="0" w:type="dxa"/>
              <w:right w:w="0" w:type="dxa"/>
            </w:tcMar>
            <w:vAlign w:val="center"/>
          </w:tcPr>
          <w:p w14:paraId="6B41B40C" w14:textId="7960BA71" w:rsidR="00106CE9" w:rsidRPr="005C1530" w:rsidRDefault="00106CE9" w:rsidP="00106CE9">
            <w:pPr>
              <w:pStyle w:val="NormalFontForTable"/>
              <w:rPr>
                <w:lang w:val="tr-TR"/>
              </w:rPr>
            </w:pPr>
            <w:r w:rsidRPr="005C1530">
              <w:rPr>
                <w:lang w:val="tr-TR"/>
              </w:rPr>
              <w:t>Eşleştirme egzersizi</w:t>
            </w:r>
          </w:p>
        </w:tc>
        <w:tc>
          <w:tcPr>
            <w:tcW w:w="3260" w:type="dxa"/>
            <w:shd w:val="clear" w:color="auto" w:fill="FFFFFF"/>
            <w:tcMar>
              <w:top w:w="0" w:type="dxa"/>
              <w:left w:w="0" w:type="dxa"/>
              <w:bottom w:w="0" w:type="dxa"/>
              <w:right w:w="0" w:type="dxa"/>
            </w:tcMar>
            <w:vAlign w:val="center"/>
          </w:tcPr>
          <w:p w14:paraId="52A518A9" w14:textId="60C042DC" w:rsidR="00106CE9" w:rsidRPr="005C1530" w:rsidRDefault="00106CE9" w:rsidP="00106CE9">
            <w:pPr>
              <w:pStyle w:val="NormalFontForTable"/>
              <w:rPr>
                <w:lang w:val="tr-TR"/>
              </w:rPr>
            </w:pPr>
            <w:r w:rsidRPr="005C1530">
              <w:rPr>
                <w:lang w:val="tr-TR"/>
              </w:rPr>
              <w:t>20 dk</w:t>
            </w:r>
          </w:p>
        </w:tc>
      </w:tr>
      <w:tr w:rsidR="00106CE9" w:rsidRPr="005C1530" w14:paraId="37F76EA0" w14:textId="77777777" w:rsidTr="00106CE9">
        <w:trPr>
          <w:trHeight w:val="452"/>
        </w:trPr>
        <w:tc>
          <w:tcPr>
            <w:tcW w:w="5246" w:type="dxa"/>
            <w:shd w:val="clear" w:color="auto" w:fill="E7E6E6" w:themeFill="background2"/>
            <w:tcMar>
              <w:top w:w="0" w:type="dxa"/>
              <w:left w:w="0" w:type="dxa"/>
              <w:bottom w:w="0" w:type="dxa"/>
              <w:right w:w="0" w:type="dxa"/>
            </w:tcMar>
            <w:vAlign w:val="center"/>
          </w:tcPr>
          <w:p w14:paraId="1B756112" w14:textId="7276707A" w:rsidR="00106CE9" w:rsidRPr="005C1530" w:rsidRDefault="00106CE9" w:rsidP="00106CE9">
            <w:pPr>
              <w:pStyle w:val="NormalFontForTable"/>
              <w:rPr>
                <w:lang w:val="tr-TR"/>
              </w:rPr>
            </w:pPr>
            <w:r w:rsidRPr="005C1530">
              <w:rPr>
                <w:color w:val="000000"/>
                <w:lang w:val="tr-TR"/>
              </w:rPr>
              <w:t>Tekrar</w:t>
            </w:r>
          </w:p>
        </w:tc>
        <w:tc>
          <w:tcPr>
            <w:tcW w:w="5669" w:type="dxa"/>
            <w:shd w:val="clear" w:color="auto" w:fill="E7E6E6" w:themeFill="background2"/>
            <w:tcMar>
              <w:top w:w="0" w:type="dxa"/>
              <w:left w:w="0" w:type="dxa"/>
              <w:bottom w:w="0" w:type="dxa"/>
              <w:right w:w="0" w:type="dxa"/>
            </w:tcMar>
            <w:vAlign w:val="center"/>
          </w:tcPr>
          <w:p w14:paraId="0119C171" w14:textId="77A5B7D3" w:rsidR="00106CE9" w:rsidRPr="005C1530" w:rsidRDefault="00106CE9" w:rsidP="00106CE9">
            <w:pPr>
              <w:pStyle w:val="NormalFontForTable"/>
              <w:rPr>
                <w:lang w:val="tr-TR"/>
              </w:rPr>
            </w:pPr>
            <w:r w:rsidRPr="005C1530">
              <w:rPr>
                <w:lang w:val="tr-TR"/>
              </w:rPr>
              <w:t xml:space="preserve">Genel grup </w:t>
            </w:r>
          </w:p>
        </w:tc>
        <w:tc>
          <w:tcPr>
            <w:tcW w:w="3260" w:type="dxa"/>
            <w:shd w:val="clear" w:color="auto" w:fill="E7E6E6" w:themeFill="background2"/>
            <w:tcMar>
              <w:top w:w="0" w:type="dxa"/>
              <w:left w:w="0" w:type="dxa"/>
              <w:bottom w:w="0" w:type="dxa"/>
              <w:right w:w="0" w:type="dxa"/>
            </w:tcMar>
            <w:vAlign w:val="center"/>
          </w:tcPr>
          <w:p w14:paraId="541EAD9E" w14:textId="6CEC0E45" w:rsidR="00106CE9" w:rsidRPr="005C1530" w:rsidRDefault="00106CE9" w:rsidP="00106CE9">
            <w:pPr>
              <w:pStyle w:val="NormalFontForTable"/>
              <w:rPr>
                <w:lang w:val="tr-TR"/>
              </w:rPr>
            </w:pPr>
            <w:r w:rsidRPr="005C1530">
              <w:rPr>
                <w:lang w:val="tr-TR"/>
              </w:rPr>
              <w:t>5 dk</w:t>
            </w:r>
          </w:p>
        </w:tc>
      </w:tr>
      <w:tr w:rsidR="00106CE9" w:rsidRPr="005C1530" w14:paraId="2E114B1F" w14:textId="77777777" w:rsidTr="00106CE9">
        <w:trPr>
          <w:trHeight w:val="452"/>
        </w:trPr>
        <w:tc>
          <w:tcPr>
            <w:tcW w:w="5246" w:type="dxa"/>
            <w:tcBorders>
              <w:top w:val="single" w:sz="2" w:space="0" w:color="405D7B"/>
              <w:left w:val="single" w:sz="2" w:space="0" w:color="405D7B"/>
              <w:bottom w:val="single" w:sz="2" w:space="0" w:color="405D7B"/>
              <w:right w:val="nil"/>
            </w:tcBorders>
            <w:shd w:val="clear" w:color="auto" w:fill="FFFFFF" w:themeFill="background1"/>
            <w:tcMar>
              <w:top w:w="0" w:type="dxa"/>
              <w:left w:w="0" w:type="dxa"/>
              <w:bottom w:w="0" w:type="dxa"/>
              <w:right w:w="0" w:type="dxa"/>
            </w:tcMar>
            <w:vAlign w:val="center"/>
          </w:tcPr>
          <w:p w14:paraId="086A62F9" w14:textId="2587F47E" w:rsidR="00106CE9" w:rsidRPr="005C1530" w:rsidRDefault="00106CE9" w:rsidP="00106CE9">
            <w:pPr>
              <w:pStyle w:val="NormalFontForTable"/>
              <w:rPr>
                <w:lang w:val="tr-TR"/>
              </w:rPr>
            </w:pPr>
            <w:r w:rsidRPr="005C1530">
              <w:rPr>
                <w:lang w:val="tr-TR"/>
              </w:rPr>
              <w:t>Toplam</w:t>
            </w:r>
          </w:p>
        </w:tc>
        <w:tc>
          <w:tcPr>
            <w:tcW w:w="5669" w:type="dxa"/>
            <w:tcBorders>
              <w:top w:val="single" w:sz="2" w:space="0" w:color="405D7B"/>
              <w:left w:val="nil"/>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7463A739" w14:textId="45EEB76B" w:rsidR="00106CE9" w:rsidRPr="005C1530" w:rsidRDefault="00106CE9" w:rsidP="00106CE9">
            <w:pPr>
              <w:pStyle w:val="NormalFontForTable"/>
              <w:rPr>
                <w:lang w:val="tr-TR"/>
              </w:rPr>
            </w:pPr>
          </w:p>
        </w:tc>
        <w:tc>
          <w:tcPr>
            <w:tcW w:w="3260" w:type="dxa"/>
            <w:tcBorders>
              <w:top w:val="single" w:sz="2" w:space="0" w:color="405D7B"/>
              <w:left w:val="single" w:sz="2" w:space="0" w:color="405D7B"/>
              <w:bottom w:val="single" w:sz="2" w:space="0" w:color="405D7B"/>
              <w:right w:val="single" w:sz="2" w:space="0" w:color="405D7B"/>
            </w:tcBorders>
            <w:shd w:val="clear" w:color="auto" w:fill="FFFFFF" w:themeFill="background1"/>
            <w:tcMar>
              <w:top w:w="0" w:type="dxa"/>
              <w:left w:w="0" w:type="dxa"/>
              <w:bottom w:w="0" w:type="dxa"/>
              <w:right w:w="0" w:type="dxa"/>
            </w:tcMar>
            <w:vAlign w:val="center"/>
          </w:tcPr>
          <w:p w14:paraId="2E131B76" w14:textId="0BCED88D" w:rsidR="00106CE9" w:rsidRPr="005C1530" w:rsidRDefault="00106CE9" w:rsidP="00106CE9">
            <w:pPr>
              <w:pStyle w:val="NormalFontForTable"/>
              <w:rPr>
                <w:lang w:val="tr-TR"/>
              </w:rPr>
            </w:pPr>
            <w:r w:rsidRPr="005C1530">
              <w:rPr>
                <w:lang w:val="tr-TR"/>
              </w:rPr>
              <w:t>50 dk</w:t>
            </w:r>
          </w:p>
        </w:tc>
      </w:tr>
    </w:tbl>
    <w:p w14:paraId="31BAA326" w14:textId="728F170F" w:rsidR="0059398D" w:rsidRPr="005C1530" w:rsidRDefault="00270E7A" w:rsidP="00270E7A">
      <w:pPr>
        <w:pStyle w:val="1Heading1"/>
        <w:rPr>
          <w:lang w:val="tr-TR"/>
        </w:rPr>
      </w:pPr>
      <w:bookmarkStart w:id="1" w:name="_Toc522623220"/>
      <w:r w:rsidRPr="005C1530">
        <w:rPr>
          <w:lang w:val="tr-TR"/>
        </w:rPr>
        <w:lastRenderedPageBreak/>
        <w:t>Eğitmenler için Talimatlar</w:t>
      </w:r>
    </w:p>
    <w:tbl>
      <w:tblPr>
        <w:tblStyle w:val="TableGrid"/>
        <w:tblW w:w="0" w:type="auto"/>
        <w:tblLook w:val="04A0" w:firstRow="1" w:lastRow="0" w:firstColumn="1" w:lastColumn="0" w:noHBand="0" w:noVBand="1"/>
      </w:tblPr>
      <w:tblGrid>
        <w:gridCol w:w="7197"/>
        <w:gridCol w:w="5989"/>
        <w:gridCol w:w="989"/>
      </w:tblGrid>
      <w:tr w:rsidR="006F1539" w:rsidRPr="005C1530" w14:paraId="525B3164" w14:textId="77777777" w:rsidTr="006F1539">
        <w:trPr>
          <w:trHeight w:val="465"/>
        </w:trPr>
        <w:tc>
          <w:tcPr>
            <w:tcW w:w="7197" w:type="dxa"/>
            <w:tcBorders>
              <w:top w:val="nil"/>
              <w:left w:val="nil"/>
              <w:bottom w:val="single" w:sz="4" w:space="0" w:color="BFBFBF" w:themeColor="background1" w:themeShade="BF"/>
              <w:right w:val="nil"/>
            </w:tcBorders>
            <w:shd w:val="clear" w:color="auto" w:fill="415E78"/>
            <w:vAlign w:val="center"/>
          </w:tcPr>
          <w:bookmarkEnd w:id="1"/>
          <w:p w14:paraId="4C69BF04" w14:textId="06305842" w:rsidR="006F1539" w:rsidRPr="005C1530" w:rsidRDefault="006F1539" w:rsidP="006F1539">
            <w:pPr>
              <w:pStyle w:val="TablWhiteHeading0MArgins"/>
              <w:spacing w:after="0" w:afterAutospacing="0" w:line="300" w:lineRule="auto"/>
              <w:rPr>
                <w:lang w:val="tr-TR"/>
              </w:rPr>
            </w:pPr>
            <w:r w:rsidRPr="005C1530">
              <w:rPr>
                <w:lang w:val="tr-TR"/>
              </w:rPr>
              <w:t xml:space="preserve"> Yüz Yüze Metodolojiler </w:t>
            </w:r>
          </w:p>
        </w:tc>
        <w:tc>
          <w:tcPr>
            <w:tcW w:w="5989" w:type="dxa"/>
            <w:tcBorders>
              <w:top w:val="nil"/>
              <w:left w:val="nil"/>
              <w:bottom w:val="single" w:sz="4" w:space="0" w:color="BFBFBF" w:themeColor="background1" w:themeShade="BF"/>
              <w:right w:val="nil"/>
            </w:tcBorders>
            <w:shd w:val="clear" w:color="auto" w:fill="415E78"/>
            <w:vAlign w:val="center"/>
          </w:tcPr>
          <w:p w14:paraId="0FD1DE17" w14:textId="031FD601" w:rsidR="006F1539" w:rsidRPr="005C1530" w:rsidRDefault="006F1539" w:rsidP="006F1539">
            <w:pPr>
              <w:pStyle w:val="TablWhiteHeading0MArgins"/>
              <w:spacing w:after="0" w:afterAutospacing="0" w:line="300" w:lineRule="auto"/>
              <w:rPr>
                <w:lang w:val="tr-TR"/>
              </w:rPr>
            </w:pPr>
            <w:r w:rsidRPr="005C1530">
              <w:rPr>
                <w:lang w:val="tr-TR"/>
              </w:rPr>
              <w:t>Uzaktan Metodolojiler</w:t>
            </w:r>
          </w:p>
        </w:tc>
        <w:tc>
          <w:tcPr>
            <w:tcW w:w="989" w:type="dxa"/>
            <w:tcBorders>
              <w:top w:val="nil"/>
              <w:left w:val="nil"/>
              <w:bottom w:val="single" w:sz="4" w:space="0" w:color="BFBFBF" w:themeColor="background1" w:themeShade="BF"/>
              <w:right w:val="nil"/>
            </w:tcBorders>
            <w:shd w:val="clear" w:color="auto" w:fill="415E78"/>
            <w:vAlign w:val="center"/>
          </w:tcPr>
          <w:p w14:paraId="0141BF79" w14:textId="1A3548DF" w:rsidR="006F1539" w:rsidRPr="005C1530" w:rsidRDefault="00B06DC8" w:rsidP="006F1539">
            <w:pPr>
              <w:pStyle w:val="TablWhiteHeading0MArgins"/>
              <w:spacing w:after="0" w:afterAutospacing="0" w:line="300" w:lineRule="auto"/>
              <w:rPr>
                <w:lang w:val="tr-TR"/>
              </w:rPr>
            </w:pPr>
            <w:r w:rsidRPr="00BD3526">
              <w:rPr>
                <w:lang w:val="tr-TR"/>
              </w:rPr>
              <w:t>Süre</w:t>
            </w:r>
          </w:p>
        </w:tc>
      </w:tr>
      <w:tr w:rsidR="006F1539" w:rsidRPr="005C1530" w14:paraId="5EC2E405" w14:textId="77777777" w:rsidTr="00BC577B">
        <w:tc>
          <w:tcPr>
            <w:tcW w:w="71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448D4C" w14:textId="77777777" w:rsidR="006F1539" w:rsidRPr="005C1530" w:rsidRDefault="006F1539" w:rsidP="006F1539">
            <w:pPr>
              <w:pStyle w:val="TableSmallBlueHeading"/>
              <w:rPr>
                <w:lang w:val="tr-TR"/>
              </w:rPr>
            </w:pPr>
            <w:r w:rsidRPr="005C1530">
              <w:rPr>
                <w:lang w:val="tr-TR"/>
              </w:rPr>
              <w:t>Hoş geldiniz ve giriş</w:t>
            </w:r>
          </w:p>
          <w:p w14:paraId="393B66EC" w14:textId="43FC6E6D" w:rsidR="006F1539" w:rsidRPr="005C1530" w:rsidRDefault="006F1539" w:rsidP="005C1530">
            <w:pPr>
              <w:jc w:val="both"/>
              <w:rPr>
                <w:lang w:val="tr-TR"/>
              </w:rPr>
            </w:pPr>
            <w:r w:rsidRPr="005C1530">
              <w:rPr>
                <w:lang w:val="tr-TR"/>
              </w:rPr>
              <w:t>Katılımcılara oturuma hoş geldiniz deyin ve oturumun amaç ve hedefleri hakkında bilgi verin.</w:t>
            </w:r>
          </w:p>
        </w:tc>
        <w:tc>
          <w:tcPr>
            <w:tcW w:w="5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253616A3" w:rsidR="006F1539" w:rsidRPr="005C1530" w:rsidRDefault="006F1539" w:rsidP="006F1539">
            <w:pPr>
              <w:rPr>
                <w:lang w:val="tr-TR"/>
              </w:rPr>
            </w:pPr>
          </w:p>
        </w:tc>
        <w:tc>
          <w:tcPr>
            <w:tcW w:w="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6C21597" w14:textId="32E5E6DC" w:rsidR="006F1539" w:rsidRPr="005C1530" w:rsidRDefault="006F1539" w:rsidP="00574C69">
            <w:pPr>
              <w:spacing w:before="120"/>
              <w:rPr>
                <w:lang w:val="tr-TR"/>
              </w:rPr>
            </w:pPr>
            <w:r w:rsidRPr="005C1530">
              <w:rPr>
                <w:lang w:val="tr-TR"/>
              </w:rPr>
              <w:t>5 dk</w:t>
            </w:r>
          </w:p>
        </w:tc>
      </w:tr>
      <w:tr w:rsidR="006F1539" w:rsidRPr="005C1530" w14:paraId="27F4A492" w14:textId="77777777" w:rsidTr="00A1308E">
        <w:tc>
          <w:tcPr>
            <w:tcW w:w="71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8928FD" w14:textId="77777777" w:rsidR="006F1539" w:rsidRPr="005C1530" w:rsidRDefault="006F1539" w:rsidP="006F1539">
            <w:pPr>
              <w:pStyle w:val="TableSmallBlueHeading"/>
              <w:rPr>
                <w:lang w:val="tr-TR"/>
              </w:rPr>
            </w:pPr>
            <w:r w:rsidRPr="005C1530">
              <w:rPr>
                <w:lang w:val="tr-TR"/>
              </w:rPr>
              <w:t>Kaliteli bir Müdahale için Standartlar</w:t>
            </w:r>
          </w:p>
          <w:p w14:paraId="72556981" w14:textId="77777777" w:rsidR="006F1539" w:rsidRPr="005C1530" w:rsidRDefault="006F1539" w:rsidP="00043F66">
            <w:pPr>
              <w:spacing w:after="0"/>
              <w:rPr>
                <w:lang w:val="tr-TR"/>
              </w:rPr>
            </w:pPr>
            <w:r w:rsidRPr="005C1530">
              <w:rPr>
                <w:b/>
                <w:bCs/>
                <w:color w:val="000000"/>
                <w:lang w:val="tr-TR"/>
              </w:rPr>
              <w:t>Açıklayın</w:t>
            </w:r>
            <w:r w:rsidRPr="005C1530">
              <w:rPr>
                <w:color w:val="000000"/>
                <w:lang w:val="tr-TR"/>
              </w:rPr>
              <w:t xml:space="preserve">:  CPMS'nin 1. sütunu </w:t>
            </w:r>
            <w:r w:rsidRPr="005C1530">
              <w:rPr>
                <w:lang w:val="tr-TR"/>
              </w:rPr>
              <w:t xml:space="preserve">altı programlama bileşenine </w:t>
            </w:r>
            <w:r w:rsidRPr="005C1530">
              <w:rPr>
                <w:color w:val="000000"/>
                <w:lang w:val="tr-TR"/>
              </w:rPr>
              <w:t>odaklanır.</w:t>
            </w:r>
            <w:r w:rsidRPr="005C1530">
              <w:rPr>
                <w:lang w:val="tr-TR"/>
              </w:rPr>
              <w:t xml:space="preserve"> Bunları hatırlayıp hatırlamadıklarını sorun. Yanıtları aşağıda ve 34. slaytta listelenen Sütun 1 standartlarını kullanarak tamamlayın:</w:t>
            </w:r>
          </w:p>
          <w:p w14:paraId="69AAF641"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Koordinasyon;</w:t>
            </w:r>
          </w:p>
          <w:p w14:paraId="5EB617B1"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İnsan Kaynakları;</w:t>
            </w:r>
          </w:p>
          <w:p w14:paraId="0AB7D9B7"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İletişim ve savunma;</w:t>
            </w:r>
          </w:p>
          <w:p w14:paraId="4A27F0FC"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Program döngüsü yönetimi;</w:t>
            </w:r>
          </w:p>
          <w:p w14:paraId="7954D387"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Bilgi yönetimi; ve</w:t>
            </w:r>
          </w:p>
          <w:p w14:paraId="4643D608"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Çocuk koruma takibi.</w:t>
            </w:r>
          </w:p>
          <w:p w14:paraId="4738758A" w14:textId="70554728" w:rsidR="006F1539" w:rsidRPr="005C1530" w:rsidRDefault="006F1539" w:rsidP="006F1539">
            <w:pPr>
              <w:rPr>
                <w:lang w:val="tr-TR"/>
              </w:rPr>
            </w:pPr>
            <w:r w:rsidRPr="005C1530">
              <w:rPr>
                <w:b/>
                <w:bCs/>
                <w:lang w:val="tr-TR"/>
              </w:rPr>
              <w:t>Şunu söyleyin</w:t>
            </w:r>
            <w:r w:rsidRPr="005C1530">
              <w:rPr>
                <w:lang w:val="tr-TR"/>
              </w:rPr>
              <w:t xml:space="preserve">:  CPHA programlamasının kalitesini garanti etmek amacıyla, insani yardım bağlamı içindeki her bir çalışma alanına çocuk koruma odaklı bir bakış açısı sağlarlar. Bu temel programlama bileşenleri, çocuk koruma programlamasının tüm alanları arasında ortaktır ve her tür durumda uygulanabilir </w:t>
            </w:r>
            <w:r w:rsidRPr="005C1530">
              <w:rPr>
                <w:lang w:val="tr-TR"/>
              </w:rPr>
              <w:lastRenderedPageBreak/>
              <w:t xml:space="preserve">niteliktedir. Eğitim öncesinde kendi kendine öğrenme sürecinizde Standart 1 ve Standart 4'ü zaten öğrenmiştiniz ve 1 sütunun diğer standartlarına geçmeden önce bugün bu standartların kısaca üzerinden geçeceğiz. </w:t>
            </w:r>
          </w:p>
        </w:tc>
        <w:tc>
          <w:tcPr>
            <w:tcW w:w="5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53C8D" w14:textId="1297CDC8" w:rsidR="006F1539" w:rsidRPr="005C1530" w:rsidRDefault="006F1539" w:rsidP="006F1539">
            <w:pPr>
              <w:rPr>
                <w:lang w:val="tr-TR"/>
              </w:rPr>
            </w:pPr>
          </w:p>
        </w:tc>
        <w:tc>
          <w:tcPr>
            <w:tcW w:w="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2F372" w14:textId="77777777" w:rsidR="006F1539" w:rsidRPr="005C1530" w:rsidRDefault="006F1539" w:rsidP="00574C69">
            <w:pPr>
              <w:pBdr>
                <w:top w:val="none" w:sz="0" w:space="0" w:color="000000"/>
                <w:left w:val="none" w:sz="0" w:space="0" w:color="000000"/>
                <w:bottom w:val="none" w:sz="0" w:space="0" w:color="000000"/>
                <w:right w:val="none" w:sz="0" w:space="0" w:color="000000"/>
                <w:between w:val="none" w:sz="0" w:space="0" w:color="000000"/>
              </w:pBdr>
              <w:spacing w:before="120"/>
              <w:rPr>
                <w:lang w:val="tr-TR"/>
              </w:rPr>
            </w:pPr>
            <w:r w:rsidRPr="005C1530">
              <w:rPr>
                <w:lang w:val="tr-TR"/>
              </w:rPr>
              <w:t>5 dk</w:t>
            </w:r>
            <w:r w:rsidRPr="005C1530">
              <w:rPr>
                <w:lang w:val="tr-TR"/>
              </w:rPr>
              <w:br/>
            </w:r>
            <w:r w:rsidRPr="005C1530">
              <w:rPr>
                <w:lang w:val="tr-TR"/>
              </w:rPr>
              <w:br/>
            </w:r>
            <w:r w:rsidRPr="005C1530">
              <w:rPr>
                <w:lang w:val="tr-TR"/>
              </w:rPr>
              <w:br/>
            </w:r>
            <w:r w:rsidRPr="005C1530">
              <w:rPr>
                <w:lang w:val="tr-TR"/>
              </w:rPr>
              <w:br/>
            </w:r>
            <w:r w:rsidRPr="005C1530">
              <w:rPr>
                <w:lang w:val="tr-TR"/>
              </w:rPr>
              <w:br/>
            </w:r>
            <w:r w:rsidRPr="005C1530">
              <w:rPr>
                <w:lang w:val="tr-TR"/>
              </w:rPr>
              <w:br/>
            </w:r>
            <w:r w:rsidRPr="005C1530">
              <w:rPr>
                <w:lang w:val="tr-TR"/>
              </w:rPr>
              <w:br/>
            </w:r>
            <w:r w:rsidRPr="005C1530">
              <w:rPr>
                <w:lang w:val="tr-TR"/>
              </w:rPr>
              <w:br/>
            </w:r>
            <w:r w:rsidRPr="005C1530">
              <w:rPr>
                <w:lang w:val="tr-TR"/>
              </w:rPr>
              <w:br/>
            </w:r>
          </w:p>
          <w:p w14:paraId="5B10A0C6" w14:textId="7F12611C" w:rsidR="006F1539" w:rsidRPr="005C1530" w:rsidRDefault="006F1539" w:rsidP="00574C69">
            <w:pPr>
              <w:spacing w:before="120"/>
              <w:rPr>
                <w:lang w:val="tr-TR"/>
              </w:rPr>
            </w:pPr>
            <w:r w:rsidRPr="005C1530">
              <w:rPr>
                <w:lang w:val="tr-TR"/>
              </w:rPr>
              <w:br/>
            </w:r>
            <w:r w:rsidRPr="005C1530">
              <w:rPr>
                <w:lang w:val="tr-TR"/>
              </w:rPr>
              <w:br/>
            </w:r>
            <w:r w:rsidRPr="005C1530">
              <w:rPr>
                <w:lang w:val="tr-TR"/>
              </w:rPr>
              <w:br/>
            </w:r>
            <w:r w:rsidRPr="005C1530">
              <w:rPr>
                <w:lang w:val="tr-TR"/>
              </w:rPr>
              <w:br/>
            </w:r>
            <w:r w:rsidRPr="005C1530">
              <w:rPr>
                <w:lang w:val="tr-TR"/>
              </w:rPr>
              <w:br/>
            </w:r>
            <w:r w:rsidRPr="005C1530">
              <w:rPr>
                <w:lang w:val="tr-TR"/>
              </w:rPr>
              <w:br/>
            </w:r>
            <w:r w:rsidRPr="005C1530">
              <w:rPr>
                <w:lang w:val="tr-TR"/>
              </w:rPr>
              <w:lastRenderedPageBreak/>
              <w:br/>
            </w:r>
            <w:r w:rsidRPr="005C1530">
              <w:rPr>
                <w:lang w:val="tr-TR"/>
              </w:rPr>
              <w:br/>
            </w:r>
            <w:r w:rsidRPr="005C1530">
              <w:rPr>
                <w:lang w:val="tr-TR"/>
              </w:rPr>
              <w:br/>
            </w:r>
          </w:p>
        </w:tc>
      </w:tr>
      <w:tr w:rsidR="006F1539" w:rsidRPr="005C1530" w14:paraId="1E81CFCA" w14:textId="77777777" w:rsidTr="00A1308E">
        <w:tc>
          <w:tcPr>
            <w:tcW w:w="71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246362" w14:textId="77777777" w:rsidR="006F1539" w:rsidRPr="005C1530" w:rsidRDefault="006F1539" w:rsidP="006F1539">
            <w:pPr>
              <w:pStyle w:val="TableSmallBlueHeading"/>
              <w:rPr>
                <w:lang w:val="tr-TR"/>
              </w:rPr>
            </w:pPr>
            <w:r w:rsidRPr="005C1530">
              <w:rPr>
                <w:lang w:val="tr-TR"/>
              </w:rPr>
              <w:lastRenderedPageBreak/>
              <w:t>Koordinasyon</w:t>
            </w:r>
          </w:p>
          <w:p w14:paraId="1C4A90B1" w14:textId="77777777" w:rsidR="006F1539" w:rsidRPr="005C1530" w:rsidRDefault="006F1539" w:rsidP="006F1539">
            <w:pPr>
              <w:rPr>
                <w:lang w:val="tr-TR"/>
              </w:rPr>
            </w:pPr>
            <w:r w:rsidRPr="005C1530">
              <w:rPr>
                <w:b/>
                <w:lang w:val="tr-TR"/>
              </w:rPr>
              <w:t xml:space="preserve">Açıklayın: </w:t>
            </w:r>
            <w:r w:rsidRPr="005C1530">
              <w:rPr>
                <w:lang w:val="tr-TR"/>
              </w:rPr>
              <w:t>Etkili koordinasyon, insani yardım faaliyetlerinde bilgi paylaşımının desteklenmesi, ortak karar alma ve ortak hedeflerin belirlenmesi gibi birçok farklı role hizmet eder. Mükerrerliğin önlenmesine yardımcı olurken insani yardım aktörlerinin, daha geniş bir erişim ve etki sağlamak üzere, üzerinde anlaşılmış roller ve sorumluluklarla mevcut sistemler ve yapılar üzerine inşa etmelerini destekler. Etkili koordinasyon çocukların, ailelerin ve toplumların dayanıklılığını güçlendirme potansiyeline sahiptir. Zayıf koordinasyon, insani yardım müdahalelerinin etkinliğini ve verimliliğini azaltır ve zararla sonuçlanma ihtimali vardır</w:t>
            </w:r>
          </w:p>
          <w:p w14:paraId="7EEEFB20" w14:textId="77777777" w:rsidR="006F1539" w:rsidRPr="005C1530" w:rsidRDefault="006F1539" w:rsidP="006F1539">
            <w:pPr>
              <w:rPr>
                <w:b/>
                <w:lang w:val="tr-TR"/>
              </w:rPr>
            </w:pPr>
            <w:r w:rsidRPr="005C1530">
              <w:rPr>
                <w:b/>
                <w:lang w:val="tr-TR"/>
              </w:rPr>
              <w:t>İnsani Yardım Koordinasyon yapıları</w:t>
            </w:r>
          </w:p>
          <w:p w14:paraId="3124E77F" w14:textId="77777777" w:rsidR="006F1539" w:rsidRPr="005C1530" w:rsidRDefault="006F1539" w:rsidP="006F1539">
            <w:pPr>
              <w:widowControl w:val="0"/>
              <w:rPr>
                <w:lang w:val="tr-TR"/>
              </w:rPr>
            </w:pPr>
            <w:r w:rsidRPr="005C1530">
              <w:rPr>
                <w:b/>
                <w:lang w:val="tr-TR"/>
              </w:rPr>
              <w:t xml:space="preserve">Açıklayın: </w:t>
            </w:r>
            <w:r w:rsidRPr="005C1530">
              <w:rPr>
                <w:lang w:val="tr-TR"/>
              </w:rPr>
              <w:t xml:space="preserve">Koordinasyon yapılarının amaçları aynıdır fakat yapıları aşağıdaki hususlara bağlı olarak farklı olabilir: </w:t>
            </w:r>
          </w:p>
          <w:p w14:paraId="6FD1CA20"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İnsani krizin büyüklüğü ve etkisi;</w:t>
            </w:r>
          </w:p>
          <w:p w14:paraId="5E442968"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İnsani krizin türü (silahlı çatışma, doğal afet, vb.);</w:t>
            </w:r>
          </w:p>
          <w:p w14:paraId="77F55751"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Etkilenen nüfusun özellikleri; ve</w:t>
            </w:r>
          </w:p>
          <w:p w14:paraId="1A23A4C8" w14:textId="77777777" w:rsidR="006F1539" w:rsidRPr="005C1530" w:rsidRDefault="006F1539" w:rsidP="005C1530">
            <w:pPr>
              <w:pStyle w:val="NormalTextBulletsLevel1"/>
              <w:numPr>
                <w:ilvl w:val="0"/>
                <w:numId w:val="21"/>
              </w:numPr>
              <w:pBdr>
                <w:top w:val="nil"/>
                <w:left w:val="nil"/>
                <w:bottom w:val="nil"/>
                <w:right w:val="nil"/>
                <w:between w:val="nil"/>
              </w:pBdr>
              <w:ind w:left="641" w:hanging="357"/>
              <w:rPr>
                <w:lang w:val="tr-TR"/>
              </w:rPr>
            </w:pPr>
            <w:r w:rsidRPr="005C1530">
              <w:rPr>
                <w:lang w:val="tr-TR"/>
              </w:rPr>
              <w:t>Hükümetin koruma endişelerini yönetme becerisi.</w:t>
            </w:r>
          </w:p>
          <w:p w14:paraId="01DC6202" w14:textId="77777777" w:rsidR="006F1539" w:rsidRPr="005C1530" w:rsidRDefault="006F1539" w:rsidP="006F1539">
            <w:pPr>
              <w:rPr>
                <w:b/>
                <w:lang w:val="tr-TR"/>
              </w:rPr>
            </w:pPr>
            <w:r w:rsidRPr="005C1530">
              <w:rPr>
                <w:b/>
                <w:lang w:val="tr-TR"/>
              </w:rPr>
              <w:lastRenderedPageBreak/>
              <w:t xml:space="preserve">Talimatlar: </w:t>
            </w:r>
            <w:r w:rsidRPr="005C1530">
              <w:rPr>
                <w:lang w:val="tr-TR"/>
              </w:rPr>
              <w:t>İnsani yapı türlerini ve tanımları ayrı ayrı dağıtın ve katılımcılardan küçük gruplar halinde bunları eşleştirmelerini isteyin.</w:t>
            </w:r>
            <w:r w:rsidRPr="005C1530">
              <w:rPr>
                <w:b/>
                <w:lang w:val="tr-TR"/>
              </w:rPr>
              <w:t xml:space="preserve"> </w:t>
            </w:r>
          </w:p>
          <w:p w14:paraId="310F9843" w14:textId="3172E5B2" w:rsidR="006F1539" w:rsidRPr="005C1530" w:rsidRDefault="006F1539" w:rsidP="005C1530">
            <w:pPr>
              <w:pStyle w:val="TableSmallPinkHeading"/>
              <w:rPr>
                <w:lang w:val="tr-TR"/>
              </w:rPr>
            </w:pPr>
            <w:r w:rsidRPr="005C1530">
              <w:rPr>
                <w:lang w:val="tr-TR"/>
              </w:rPr>
              <w:t>Bir İnsani Yardım Koordinatörü liderliğindeki durumlar ve</w:t>
            </w:r>
            <w:r w:rsidR="005C1530" w:rsidRPr="005C1530">
              <w:rPr>
                <w:lang w:val="tr-TR"/>
              </w:rPr>
              <w:t xml:space="preserve"> </w:t>
            </w:r>
            <w:r w:rsidRPr="005C1530">
              <w:rPr>
                <w:lang w:val="tr-TR"/>
              </w:rPr>
              <w:t>erken uyarı bağlamları (IDP) düzenlemeleri</w:t>
            </w:r>
          </w:p>
          <w:p w14:paraId="483D07AF" w14:textId="77777777" w:rsidR="006F1539" w:rsidRPr="005C1530" w:rsidRDefault="006F1539" w:rsidP="006F1539">
            <w:pPr>
              <w:rPr>
                <w:lang w:val="tr-TR"/>
              </w:rPr>
            </w:pPr>
            <w:r w:rsidRPr="005C1530">
              <w:rPr>
                <w:lang w:val="tr-TR"/>
              </w:rPr>
              <w:t>Küme Yaklaşımının etkinleştirildiği 2007 yılından bu yana Çocuk Koruma, Küresel Koruma Kümesi içerisinde bir Sorumluluk Alanı olarak kabul edilmektedir. Çocuk koruma koordinasyon grupları (ilaveten bunlara bazen alt  gruplar da denir) tüm gruplar arası süreçlerde Koruma Grubu ile birlikte hareket etmelidir. Çocuk koruma koordinasyonu için belirlenmiş küresel lider kuruluş olarak UNICEF, ülke düzeyinde mevcut insani yardım koordinasyonunu desteklemekten, yeni bir koordinasyon grubu oluşturmak ve personel sağlamaktan veya bunu yapmak için başka bir kuruluşla birlikte çalışmaktan sorumludur. Eş liderlik hem ulusal hem de ulusal altı düzeylerde güçlü bir şekilde teşvik edilmektedir.</w:t>
            </w:r>
          </w:p>
          <w:p w14:paraId="7FE0541F" w14:textId="1C4B82A1" w:rsidR="006F1539" w:rsidRPr="005C1530" w:rsidRDefault="006F1539" w:rsidP="005C1530">
            <w:pPr>
              <w:pStyle w:val="TableSmallPinkHeading"/>
              <w:rPr>
                <w:lang w:val="tr-TR"/>
              </w:rPr>
            </w:pPr>
            <w:r w:rsidRPr="005C1530">
              <w:rPr>
                <w:lang w:val="tr-TR"/>
              </w:rPr>
              <w:t>Sığınmacıların, mültecilerin, vatansız kişilerin ve</w:t>
            </w:r>
            <w:r w:rsidR="005C1530" w:rsidRPr="005C1530">
              <w:rPr>
                <w:lang w:val="tr-TR"/>
              </w:rPr>
              <w:t xml:space="preserve"> </w:t>
            </w:r>
            <w:r w:rsidRPr="005C1530">
              <w:rPr>
                <w:lang w:val="tr-TR"/>
              </w:rPr>
              <w:t xml:space="preserve">İade edilen mültecilerin durumu </w:t>
            </w:r>
          </w:p>
          <w:p w14:paraId="3E37627B" w14:textId="77777777" w:rsidR="006F1539" w:rsidRPr="005C1530" w:rsidRDefault="006F1539" w:rsidP="006F1539">
            <w:pPr>
              <w:rPr>
                <w:color w:val="000000"/>
                <w:lang w:val="tr-TR"/>
              </w:rPr>
            </w:pPr>
            <w:r w:rsidRPr="005C1530">
              <w:rPr>
                <w:lang w:val="tr-TR"/>
              </w:rPr>
              <w:t xml:space="preserve">Birleşmiş Milletler Mülteciler Yüksek Komiserliği (UNHCR), mülteciler için çözüm arayışları bağlamında hükümetleri desteklemekten ve bu kişilere uluslararası koruma sağlamaktan sorumludur. Bu uygulama daha sonra vatansız kişileri, sığınmacıları ve iade edilen mültecileri </w:t>
            </w:r>
            <w:r w:rsidRPr="005C1530">
              <w:rPr>
                <w:lang w:val="tr-TR"/>
              </w:rPr>
              <w:lastRenderedPageBreak/>
              <w:t>de kapsayacak şekilde genişletilmiştir. UNHCR bu nüfusu 'endişe duyulan kişiler' olarak adlandırmaktadır.</w:t>
            </w:r>
          </w:p>
          <w:p w14:paraId="6DC9DD33" w14:textId="77777777" w:rsidR="006F1539" w:rsidRPr="005C1530" w:rsidRDefault="006F1539" w:rsidP="006F1539">
            <w:pPr>
              <w:rPr>
                <w:b/>
                <w:lang w:val="tr-TR"/>
              </w:rPr>
            </w:pPr>
            <w:r w:rsidRPr="005C1530">
              <w:rPr>
                <w:lang w:val="tr-TR"/>
              </w:rPr>
              <w:t>UNHCR, Mülteci Koruma Çalışma Grubunu kurar ve mümkün olan durumlarda ev sahibi hükumet ile birlikte çalışmalara öncülük eder. Çocuk koruma konusunda tematik bir alt grubun kurulması, bağlama özgü koordinasyon ihtiyaçlarını esas alır.</w:t>
            </w:r>
          </w:p>
          <w:p w14:paraId="2006F7ED" w14:textId="77777777" w:rsidR="006F1539" w:rsidRPr="005C1530" w:rsidRDefault="006F1539" w:rsidP="005C1530">
            <w:pPr>
              <w:pStyle w:val="TableSmallPinkHeading"/>
              <w:rPr>
                <w:lang w:val="tr-TR"/>
              </w:rPr>
            </w:pPr>
            <w:r w:rsidRPr="005C1530">
              <w:rPr>
                <w:lang w:val="tr-TR"/>
              </w:rPr>
              <w:t xml:space="preserve">Karma durumlar </w:t>
            </w:r>
          </w:p>
          <w:p w14:paraId="37B7B6A9" w14:textId="77777777" w:rsidR="006F1539" w:rsidRPr="005C1530" w:rsidRDefault="006F1539" w:rsidP="006F1539">
            <w:pPr>
              <w:rPr>
                <w:color w:val="000000"/>
                <w:lang w:val="tr-TR"/>
              </w:rPr>
            </w:pPr>
            <w:r w:rsidRPr="005C1530">
              <w:rPr>
                <w:lang w:val="tr-TR"/>
              </w:rPr>
              <w:t>Mültecilerin ve ülke içinde yerinden edilmiş kişilerin (IDP'ler) aynı bölgede ikamet ettiği durumlarda, Birleşmiş Milletler Mülteciler Yüksek Komiserliği ve Acil Yardım Koordinatörü sektörleri mi yoksa Grup Yaklaşımın mı kullanacaklarına ortak bir şekilde karar verirler.</w:t>
            </w:r>
          </w:p>
          <w:p w14:paraId="4B60E3F0" w14:textId="77777777" w:rsidR="006F1539" w:rsidRPr="00AE5CF0" w:rsidRDefault="006F1539" w:rsidP="00AE5CF0">
            <w:pPr>
              <w:pStyle w:val="TableSmallPinkHeading"/>
              <w:rPr>
                <w:lang w:val="tr-TR"/>
              </w:rPr>
            </w:pPr>
            <w:r w:rsidRPr="00AE5CF0">
              <w:rPr>
                <w:lang w:val="tr-TR"/>
              </w:rPr>
              <w:t>Bulaşıcı hastalık salgınlarında insani müdahale</w:t>
            </w:r>
          </w:p>
          <w:p w14:paraId="4D70921D" w14:textId="77777777" w:rsidR="006F1539" w:rsidRPr="005C1530" w:rsidRDefault="006F1539" w:rsidP="006F1539">
            <w:pPr>
              <w:rPr>
                <w:color w:val="000000"/>
                <w:lang w:val="tr-TR"/>
              </w:rPr>
            </w:pPr>
            <w:r w:rsidRPr="005C1530">
              <w:rPr>
                <w:lang w:val="tr-TR"/>
              </w:rPr>
              <w:t>Ne grup yaklaşımı ne de mülteci koordinasyon modelinin kullanımı söz konusu olmayabilir. Bu nedenle, çocuk koruma müdahale eylemlerini birleştirmenin yollarını aramak için birden fazla farklı koordinasyon grubu veya sistemi ile ilişki kurma ihtiyacı doğabilir.</w:t>
            </w:r>
          </w:p>
          <w:p w14:paraId="54354915" w14:textId="77777777" w:rsidR="006F1539" w:rsidRPr="005C1530" w:rsidRDefault="006F1539" w:rsidP="006F1539">
            <w:pPr>
              <w:rPr>
                <w:b/>
                <w:lang w:val="tr-TR"/>
              </w:rPr>
            </w:pPr>
            <w:r w:rsidRPr="005C1530">
              <w:rPr>
                <w:b/>
                <w:lang w:val="tr-TR"/>
              </w:rPr>
              <w:t>Talimatlar:</w:t>
            </w:r>
            <w:r w:rsidRPr="005C1530">
              <w:rPr>
                <w:lang w:val="tr-TR"/>
              </w:rPr>
              <w:t xml:space="preserve"> Doğru yanıtları verin ve uygun olduğunda, kendi bağlamlarında ne tür bir düzene sahip olduklarını sorun. Kendi düzenleri sunulan modellerden herhangi birine benziyor mu yoksa farklı bir şey mi uygulanmış?</w:t>
            </w:r>
          </w:p>
          <w:p w14:paraId="7A559577" w14:textId="589AB900" w:rsidR="006F1539" w:rsidRPr="005C1530" w:rsidRDefault="006F1539" w:rsidP="006F1539">
            <w:pPr>
              <w:rPr>
                <w:rStyle w:val="Emphasis"/>
                <w:b/>
                <w:i w:val="0"/>
                <w:iCs w:val="0"/>
                <w:lang w:val="tr-TR"/>
              </w:rPr>
            </w:pPr>
          </w:p>
        </w:tc>
        <w:tc>
          <w:tcPr>
            <w:tcW w:w="5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BF6BC18" w14:textId="77777777" w:rsidR="006F1539" w:rsidRPr="005C1530" w:rsidRDefault="006F1539" w:rsidP="006F1539">
            <w:pPr>
              <w:rPr>
                <w:lang w:val="tr-TR"/>
              </w:rPr>
            </w:pPr>
            <w:r w:rsidRPr="005C1530">
              <w:rPr>
                <w:lang w:val="tr-TR"/>
              </w:rPr>
              <w:lastRenderedPageBreak/>
              <w:br/>
            </w:r>
            <w:r w:rsidRPr="005C1530">
              <w:rPr>
                <w:lang w:val="tr-TR"/>
              </w:rPr>
              <w:br/>
            </w:r>
          </w:p>
          <w:p w14:paraId="039AB2B9" w14:textId="77777777" w:rsidR="006F1539" w:rsidRPr="005C1530" w:rsidRDefault="006F1539" w:rsidP="006F1539">
            <w:pPr>
              <w:rPr>
                <w:lang w:val="tr-TR"/>
              </w:rPr>
            </w:pPr>
          </w:p>
          <w:p w14:paraId="60C71A0E" w14:textId="77777777" w:rsidR="006F1539" w:rsidRPr="005C1530" w:rsidRDefault="006F1539" w:rsidP="006F1539">
            <w:pPr>
              <w:rPr>
                <w:lang w:val="tr-TR"/>
              </w:rPr>
            </w:pPr>
          </w:p>
          <w:p w14:paraId="513F636D" w14:textId="77777777" w:rsidR="006F1539" w:rsidRPr="005C1530" w:rsidRDefault="006F1539" w:rsidP="006F1539">
            <w:pPr>
              <w:rPr>
                <w:lang w:val="tr-TR"/>
              </w:rPr>
            </w:pPr>
          </w:p>
          <w:p w14:paraId="07D62C5C" w14:textId="77777777" w:rsidR="006F1539" w:rsidRPr="005C1530" w:rsidRDefault="006F1539" w:rsidP="006F1539">
            <w:pPr>
              <w:rPr>
                <w:lang w:val="tr-TR"/>
              </w:rPr>
            </w:pPr>
          </w:p>
          <w:p w14:paraId="3E707E25" w14:textId="77777777" w:rsidR="006F1539" w:rsidRPr="005C1530" w:rsidRDefault="006F1539" w:rsidP="006F1539">
            <w:pPr>
              <w:rPr>
                <w:lang w:val="tr-TR"/>
              </w:rPr>
            </w:pPr>
          </w:p>
          <w:p w14:paraId="7CA4182C" w14:textId="77777777" w:rsidR="006F1539" w:rsidRPr="005C1530" w:rsidRDefault="006F1539" w:rsidP="006F1539">
            <w:pPr>
              <w:rPr>
                <w:lang w:val="tr-TR"/>
              </w:rPr>
            </w:pPr>
          </w:p>
          <w:p w14:paraId="3E403BCE" w14:textId="77777777" w:rsidR="006F1539" w:rsidRPr="005C1530" w:rsidRDefault="006F1539" w:rsidP="006F1539">
            <w:pPr>
              <w:rPr>
                <w:lang w:val="tr-TR"/>
              </w:rPr>
            </w:pPr>
          </w:p>
          <w:p w14:paraId="4143365C" w14:textId="77777777" w:rsidR="006F1539" w:rsidRPr="005C1530" w:rsidRDefault="006F1539" w:rsidP="006F1539">
            <w:pPr>
              <w:rPr>
                <w:lang w:val="tr-TR"/>
              </w:rPr>
            </w:pPr>
          </w:p>
          <w:p w14:paraId="4A89502C" w14:textId="77777777" w:rsidR="006F1539" w:rsidRPr="005C1530" w:rsidRDefault="006F1539" w:rsidP="006F1539">
            <w:pPr>
              <w:rPr>
                <w:lang w:val="tr-TR"/>
              </w:rPr>
            </w:pPr>
          </w:p>
          <w:p w14:paraId="10D57F47" w14:textId="77777777" w:rsidR="006F1539" w:rsidRPr="005C1530" w:rsidRDefault="006F1539" w:rsidP="006F1539">
            <w:pPr>
              <w:rPr>
                <w:lang w:val="tr-TR"/>
              </w:rPr>
            </w:pPr>
          </w:p>
          <w:p w14:paraId="698091B8" w14:textId="77777777" w:rsidR="006F1539" w:rsidRPr="005C1530" w:rsidRDefault="006F1539" w:rsidP="006F1539">
            <w:pPr>
              <w:rPr>
                <w:lang w:val="tr-TR"/>
              </w:rPr>
            </w:pPr>
          </w:p>
          <w:p w14:paraId="04633243" w14:textId="77777777" w:rsidR="006F1539" w:rsidRPr="005C1530" w:rsidRDefault="006F1539" w:rsidP="006F1539">
            <w:pPr>
              <w:rPr>
                <w:lang w:val="tr-TR"/>
              </w:rPr>
            </w:pPr>
          </w:p>
          <w:p w14:paraId="6C8BF5D3" w14:textId="77777777" w:rsidR="006F1539" w:rsidRPr="005C1530" w:rsidRDefault="006F1539" w:rsidP="006F1539">
            <w:pPr>
              <w:rPr>
                <w:lang w:val="tr-TR"/>
              </w:rPr>
            </w:pPr>
          </w:p>
          <w:p w14:paraId="5062966A" w14:textId="77777777" w:rsidR="006F1539" w:rsidRPr="005C1530" w:rsidRDefault="006F1539" w:rsidP="006F1539">
            <w:pPr>
              <w:rPr>
                <w:lang w:val="tr-TR"/>
              </w:rPr>
            </w:pPr>
            <w:r w:rsidRPr="005C1530">
              <w:rPr>
                <w:lang w:val="tr-TR"/>
              </w:rPr>
              <w:t xml:space="preserve">3-4 kişilik ara odaları hazırlayın. Sanal beyaz tahtaya bir bağlantı paylaşın ve her ara odaya bir sayfa veya alan ayırın. </w:t>
            </w:r>
          </w:p>
          <w:p w14:paraId="7067AC8C" w14:textId="71313699" w:rsidR="006F1539" w:rsidRPr="005C1530" w:rsidRDefault="006F1539" w:rsidP="006F1539">
            <w:pPr>
              <w:rPr>
                <w:lang w:val="tr-TR"/>
              </w:rPr>
            </w:pPr>
            <w:r w:rsidRPr="005C1530">
              <w:rPr>
                <w:lang w:val="tr-TR"/>
              </w:rPr>
              <w:t>Katılımcıların terimleri ve tanımları eşleştirecek şekilde post it notlarını hareket ettirmeleri gerektiğini açıklayın.</w:t>
            </w:r>
          </w:p>
        </w:tc>
        <w:tc>
          <w:tcPr>
            <w:tcW w:w="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36621" w14:textId="49356338" w:rsidR="006F1539" w:rsidRPr="005C1530" w:rsidRDefault="006F1539" w:rsidP="00574C69">
            <w:pPr>
              <w:spacing w:before="120"/>
              <w:rPr>
                <w:rStyle w:val="Emphasis"/>
                <w:i w:val="0"/>
                <w:iCs w:val="0"/>
                <w:lang w:val="tr-TR"/>
              </w:rPr>
            </w:pPr>
            <w:r w:rsidRPr="005C1530">
              <w:rPr>
                <w:lang w:val="tr-TR"/>
              </w:rPr>
              <w:lastRenderedPageBreak/>
              <w:t>15 dk</w:t>
            </w:r>
          </w:p>
        </w:tc>
      </w:tr>
      <w:tr w:rsidR="006F1539" w:rsidRPr="005C1530" w14:paraId="677507C4" w14:textId="77777777" w:rsidTr="00BC577B">
        <w:tc>
          <w:tcPr>
            <w:tcW w:w="71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4AFE8" w14:textId="77777777" w:rsidR="006F1539" w:rsidRPr="005C1530" w:rsidRDefault="006F1539" w:rsidP="006F1539">
            <w:pPr>
              <w:pStyle w:val="TableSmallBlueHeading"/>
              <w:rPr>
                <w:lang w:val="tr-TR"/>
              </w:rPr>
            </w:pPr>
            <w:r w:rsidRPr="005C1530">
              <w:rPr>
                <w:lang w:val="tr-TR"/>
              </w:rPr>
              <w:lastRenderedPageBreak/>
              <w:t xml:space="preserve">CPMS'den PCM temel aksiyonları </w:t>
            </w:r>
          </w:p>
          <w:p w14:paraId="6C4D4413" w14:textId="77777777" w:rsidR="006F1539" w:rsidRPr="005C1530" w:rsidRDefault="006F1539" w:rsidP="006F1539">
            <w:pPr>
              <w:rPr>
                <w:lang w:val="tr-TR"/>
              </w:rPr>
            </w:pPr>
            <w:r w:rsidRPr="005C1530">
              <w:rPr>
                <w:b/>
                <w:lang w:val="tr-TR"/>
              </w:rPr>
              <w:t xml:space="preserve">Talimatlar: </w:t>
            </w:r>
            <w:r w:rsidRPr="005C1530">
              <w:rPr>
                <w:lang w:val="tr-TR"/>
              </w:rPr>
              <w:t xml:space="preserve">Genel kurulda şunları sorun: "Program döngüsündeki beş ana aşamanın sırasını hatırlayan var mı?" </w:t>
            </w:r>
          </w:p>
          <w:p w14:paraId="6B398336" w14:textId="77777777" w:rsidR="006F1539" w:rsidRPr="005C1530" w:rsidRDefault="006F1539" w:rsidP="006F1539">
            <w:pPr>
              <w:rPr>
                <w:lang w:val="tr-TR"/>
              </w:rPr>
            </w:pPr>
            <w:r w:rsidRPr="005C1530">
              <w:rPr>
                <w:lang w:val="tr-TR"/>
              </w:rPr>
              <w:t>Aşamalar belirlendikçe, kartları doğru sıralama ile eğitim odasının duvarına yapıştırın ve slayt 35'i gösterin.</w:t>
            </w:r>
          </w:p>
          <w:p w14:paraId="186BA7A1" w14:textId="77777777" w:rsidR="006F1539" w:rsidRPr="005730B8" w:rsidRDefault="006F1539" w:rsidP="005730B8">
            <w:pPr>
              <w:pStyle w:val="NormalFontForTable"/>
              <w:rPr>
                <w:highlight w:val="white"/>
              </w:rPr>
            </w:pPr>
            <w:r w:rsidRPr="005730B8">
              <w:rPr>
                <w:highlight w:val="white"/>
              </w:rPr>
              <w:t xml:space="preserve">(1) hazırlıklı olma; </w:t>
            </w:r>
          </w:p>
          <w:p w14:paraId="750A8C73" w14:textId="77777777" w:rsidR="006F1539" w:rsidRPr="005730B8" w:rsidRDefault="006F1539" w:rsidP="005730B8">
            <w:pPr>
              <w:pStyle w:val="NormalFontForTable"/>
              <w:rPr>
                <w:highlight w:val="white"/>
              </w:rPr>
            </w:pPr>
            <w:r w:rsidRPr="005730B8">
              <w:rPr>
                <w:highlight w:val="white"/>
              </w:rPr>
              <w:t xml:space="preserve">(2) ihtiyaçların değerlendirilmesi ve durum analizi; </w:t>
            </w:r>
          </w:p>
          <w:p w14:paraId="30BB0420" w14:textId="77777777" w:rsidR="006F1539" w:rsidRPr="005730B8" w:rsidRDefault="006F1539" w:rsidP="005730B8">
            <w:pPr>
              <w:pStyle w:val="NormalFontForTable"/>
              <w:rPr>
                <w:highlight w:val="white"/>
              </w:rPr>
            </w:pPr>
            <w:r w:rsidRPr="005730B8">
              <w:rPr>
                <w:highlight w:val="white"/>
              </w:rPr>
              <w:t xml:space="preserve">(3) tasarım ve planlama; </w:t>
            </w:r>
          </w:p>
          <w:p w14:paraId="119A0C21" w14:textId="77777777" w:rsidR="006F1539" w:rsidRPr="005730B8" w:rsidRDefault="006F1539" w:rsidP="005730B8">
            <w:pPr>
              <w:pStyle w:val="NormalFontForTable"/>
              <w:rPr>
                <w:highlight w:val="white"/>
              </w:rPr>
            </w:pPr>
            <w:r w:rsidRPr="005730B8">
              <w:rPr>
                <w:highlight w:val="white"/>
              </w:rPr>
              <w:t xml:space="preserve">(4) uygulama ve takip; ve </w:t>
            </w:r>
          </w:p>
          <w:p w14:paraId="5DD012EC" w14:textId="77777777" w:rsidR="006F1539" w:rsidRPr="005730B8" w:rsidRDefault="006F1539" w:rsidP="005730B8">
            <w:pPr>
              <w:pStyle w:val="NormalFontForTable"/>
              <w:rPr>
                <w:highlight w:val="white"/>
              </w:rPr>
            </w:pPr>
            <w:r w:rsidRPr="005730B8">
              <w:rPr>
                <w:highlight w:val="white"/>
              </w:rPr>
              <w:t>(5) değerlendirme ve öğrenme.</w:t>
            </w:r>
          </w:p>
          <w:p w14:paraId="5819EED5" w14:textId="195045AE" w:rsidR="006F1539" w:rsidRPr="005C1530" w:rsidRDefault="006F1539" w:rsidP="006F1539">
            <w:pPr>
              <w:rPr>
                <w:lang w:val="tr-TR"/>
              </w:rPr>
            </w:pPr>
            <w:r w:rsidRPr="005C1530">
              <w:rPr>
                <w:lang w:val="tr-TR"/>
              </w:rPr>
              <w:t xml:space="preserve">Katılımcıları yaklaşık 4 kişilik küçük gruplara ayırın ve her gruba bir takım PCM etkinlik kartı verin. </w:t>
            </w:r>
          </w:p>
          <w:p w14:paraId="75EC3A2A" w14:textId="77777777" w:rsidR="006F1539" w:rsidRPr="005C1530" w:rsidRDefault="006F1539" w:rsidP="006F1539">
            <w:pPr>
              <w:rPr>
                <w:lang w:val="tr-TR"/>
              </w:rPr>
            </w:pPr>
            <w:r w:rsidRPr="005C1530">
              <w:rPr>
                <w:lang w:val="tr-TR"/>
              </w:rPr>
              <w:t xml:space="preserve">Kartların kaliteli bir çocuk koruma müdahalesini desteklemeyi sağlayabilecek farklı kilit eylemleri gösterdiğini açıklayın. Görevleri, bunları PCM'nin her aşaması için bir tane olmak üzere 5 desteye ayırmaktır. </w:t>
            </w:r>
          </w:p>
          <w:p w14:paraId="028066D5" w14:textId="77777777" w:rsidR="006F1539" w:rsidRPr="005C1530" w:rsidRDefault="006F1539" w:rsidP="006F1539">
            <w:pPr>
              <w:rPr>
                <w:lang w:val="tr-TR"/>
              </w:rPr>
            </w:pPr>
            <w:r w:rsidRPr="005C1530">
              <w:rPr>
                <w:lang w:val="tr-TR"/>
              </w:rPr>
              <w:t>Soruları olup olmadığını kontrol edin.</w:t>
            </w:r>
          </w:p>
          <w:p w14:paraId="58387F41" w14:textId="5719D24C" w:rsidR="006F1539" w:rsidRPr="005C1530" w:rsidRDefault="006F1539" w:rsidP="005730B8">
            <w:pPr>
              <w:rPr>
                <w:lang w:val="tr-TR"/>
              </w:rPr>
            </w:pPr>
            <w:r w:rsidRPr="005C1530">
              <w:rPr>
                <w:lang w:val="tr-TR"/>
              </w:rPr>
              <w:t xml:space="preserve">Sıralama etkinliği için katılımcılara 10-15 dakika zaman verin. </w:t>
            </w:r>
          </w:p>
          <w:p w14:paraId="2563EAB0" w14:textId="0A76B775" w:rsidR="006F1539" w:rsidRPr="005C1530" w:rsidRDefault="006F1539" w:rsidP="006F1539">
            <w:pPr>
              <w:rPr>
                <w:rStyle w:val="Emphasis"/>
                <w:i w:val="0"/>
                <w:iCs w:val="0"/>
                <w:lang w:val="tr-TR"/>
              </w:rPr>
            </w:pPr>
            <w:r w:rsidRPr="005C1530">
              <w:rPr>
                <w:color w:val="000000"/>
                <w:lang w:val="tr-TR"/>
              </w:rPr>
              <w:t xml:space="preserve">Grupları tekrar birleştirin ve PCM'nin her aşamasında çalışarak grupların neleri dahil ettiklerini kontrol edin ve gerekirse düzeltmeler yapın. Duvara bir dizi doğru cevap ekleyin ve bunları ekranda bırakın. </w:t>
            </w:r>
          </w:p>
        </w:tc>
        <w:tc>
          <w:tcPr>
            <w:tcW w:w="5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68CAFD" w14:textId="77777777" w:rsidR="006F1539" w:rsidRPr="005C1530" w:rsidRDefault="006F1539" w:rsidP="006F1539">
            <w:pPr>
              <w:rPr>
                <w:lang w:val="tr-TR"/>
              </w:rPr>
            </w:pPr>
          </w:p>
          <w:p w14:paraId="5A400A53" w14:textId="77777777" w:rsidR="006F1539" w:rsidRPr="005C1530" w:rsidRDefault="006F1539" w:rsidP="006F1539">
            <w:pPr>
              <w:rPr>
                <w:lang w:val="tr-TR"/>
              </w:rPr>
            </w:pPr>
          </w:p>
          <w:p w14:paraId="65D8F7C1" w14:textId="77777777" w:rsidR="006F1539" w:rsidRPr="005C1530" w:rsidRDefault="006F1539" w:rsidP="006F1539">
            <w:pPr>
              <w:rPr>
                <w:lang w:val="tr-TR"/>
              </w:rPr>
            </w:pPr>
          </w:p>
          <w:p w14:paraId="4FA58CA4" w14:textId="77777777" w:rsidR="006F1539" w:rsidRPr="005C1530" w:rsidRDefault="006F1539" w:rsidP="006F1539">
            <w:pPr>
              <w:rPr>
                <w:lang w:val="tr-TR"/>
              </w:rPr>
            </w:pPr>
          </w:p>
          <w:p w14:paraId="1D114E24" w14:textId="77777777" w:rsidR="006F1539" w:rsidRPr="005C1530" w:rsidRDefault="006F1539" w:rsidP="006F1539">
            <w:pPr>
              <w:rPr>
                <w:lang w:val="tr-TR"/>
              </w:rPr>
            </w:pPr>
            <w:r w:rsidRPr="005C1530">
              <w:rPr>
                <w:lang w:val="tr-TR"/>
              </w:rPr>
              <w:t xml:space="preserve">Sanal bir beyaz tahtayı ekranda paylaşın ve grup tarafından tanımlandıkça her bir aşamanın başlığını gösterin. </w:t>
            </w:r>
          </w:p>
          <w:p w14:paraId="3BEF7765" w14:textId="77777777" w:rsidR="006F1539" w:rsidRPr="005C1530" w:rsidRDefault="006F1539" w:rsidP="006F1539">
            <w:pPr>
              <w:rPr>
                <w:lang w:val="tr-TR"/>
              </w:rPr>
            </w:pPr>
          </w:p>
          <w:p w14:paraId="6CC43FFF" w14:textId="77777777" w:rsidR="006F1539" w:rsidRPr="005C1530" w:rsidRDefault="006F1539" w:rsidP="006F1539">
            <w:pPr>
              <w:rPr>
                <w:lang w:val="tr-TR"/>
              </w:rPr>
            </w:pPr>
          </w:p>
          <w:p w14:paraId="3FD7FF77" w14:textId="77777777" w:rsidR="006F1539" w:rsidRPr="005C1530" w:rsidRDefault="006F1539" w:rsidP="006F1539">
            <w:pPr>
              <w:rPr>
                <w:lang w:val="tr-TR"/>
              </w:rPr>
            </w:pPr>
          </w:p>
          <w:p w14:paraId="5C704C60" w14:textId="77777777" w:rsidR="006F1539" w:rsidRPr="005C1530" w:rsidRDefault="006F1539" w:rsidP="006F1539">
            <w:pPr>
              <w:rPr>
                <w:lang w:val="tr-TR"/>
              </w:rPr>
            </w:pPr>
          </w:p>
          <w:p w14:paraId="5B2ED80A" w14:textId="77777777" w:rsidR="006F1539" w:rsidRPr="005C1530" w:rsidRDefault="006F1539" w:rsidP="006F1539">
            <w:pPr>
              <w:rPr>
                <w:lang w:val="tr-TR"/>
              </w:rPr>
            </w:pPr>
          </w:p>
          <w:p w14:paraId="2F22D751" w14:textId="77777777" w:rsidR="006F1539" w:rsidRPr="005C1530" w:rsidRDefault="006F1539" w:rsidP="006F1539">
            <w:pPr>
              <w:rPr>
                <w:lang w:val="tr-TR"/>
              </w:rPr>
            </w:pPr>
            <w:r w:rsidRPr="005C1530">
              <w:rPr>
                <w:lang w:val="tr-TR"/>
              </w:rPr>
              <w:t xml:space="preserve">4'er kişilik ara odalar hazırlayın. Önceden hazırlanmış sanal beyaz tahtanın(ların) bağlantısını sohbette paylaşın. </w:t>
            </w:r>
          </w:p>
          <w:p w14:paraId="509B591C" w14:textId="77777777" w:rsidR="006F1539" w:rsidRPr="005C1530" w:rsidRDefault="006F1539" w:rsidP="006F1539">
            <w:pPr>
              <w:rPr>
                <w:lang w:val="tr-TR"/>
              </w:rPr>
            </w:pPr>
          </w:p>
          <w:p w14:paraId="052F2826" w14:textId="72B66355" w:rsidR="006F1539" w:rsidRPr="005C1530" w:rsidRDefault="006F1539" w:rsidP="006F1539">
            <w:pPr>
              <w:rPr>
                <w:rStyle w:val="Emphasis"/>
                <w:b/>
                <w:i w:val="0"/>
                <w:iCs w:val="0"/>
                <w:lang w:val="tr-TR"/>
              </w:rPr>
            </w:pPr>
            <w:r w:rsidRPr="005C1530">
              <w:rPr>
                <w:lang w:val="tr-TR"/>
              </w:rPr>
              <w:t xml:space="preserve">Ara odaları kapatın. </w:t>
            </w:r>
          </w:p>
        </w:tc>
        <w:tc>
          <w:tcPr>
            <w:tcW w:w="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23F4D8" w14:textId="5769C1EA" w:rsidR="006F1539" w:rsidRPr="005C1530" w:rsidRDefault="006F1539" w:rsidP="00574C69">
            <w:pPr>
              <w:spacing w:before="120"/>
              <w:rPr>
                <w:rStyle w:val="Emphasis"/>
                <w:i w:val="0"/>
                <w:iCs w:val="0"/>
                <w:lang w:val="tr-TR"/>
              </w:rPr>
            </w:pPr>
            <w:r w:rsidRPr="005C1530">
              <w:rPr>
                <w:lang w:val="tr-TR"/>
              </w:rPr>
              <w:t>20 dk</w:t>
            </w:r>
          </w:p>
        </w:tc>
      </w:tr>
      <w:tr w:rsidR="006F1539" w:rsidRPr="005C1530" w14:paraId="46CABD12" w14:textId="77777777" w:rsidTr="00BC577B">
        <w:tc>
          <w:tcPr>
            <w:tcW w:w="71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4DE2357A" w14:textId="77777777" w:rsidR="006F1539" w:rsidRPr="005C1530" w:rsidRDefault="006F1539" w:rsidP="006F1539">
            <w:pPr>
              <w:pStyle w:val="TableSmallBlueHeading"/>
              <w:rPr>
                <w:lang w:val="tr-TR"/>
              </w:rPr>
            </w:pPr>
            <w:r w:rsidRPr="005C1530">
              <w:rPr>
                <w:lang w:val="tr-TR"/>
              </w:rPr>
              <w:lastRenderedPageBreak/>
              <w:t>Oturum özeti</w:t>
            </w:r>
          </w:p>
          <w:p w14:paraId="47280DB2" w14:textId="77777777" w:rsidR="006F1539" w:rsidRPr="005C1530" w:rsidRDefault="006F1539" w:rsidP="006F1539">
            <w:pPr>
              <w:rPr>
                <w:lang w:val="tr-TR"/>
              </w:rPr>
            </w:pPr>
            <w:r w:rsidRPr="005C1530">
              <w:rPr>
                <w:lang w:val="tr-TR"/>
              </w:rPr>
              <w:t xml:space="preserve">Katılımcılara öğrenme günlüklerini istedikleri zaman kullanarak temel öğrenme noktalarını not edebileceklerini hatırlatın ve 36. slaytı göstererek oturumu özetleyin. </w:t>
            </w:r>
          </w:p>
          <w:p w14:paraId="79FAC311" w14:textId="77777777" w:rsidR="006F1539" w:rsidRPr="005C1530" w:rsidRDefault="006F1539" w:rsidP="006F1539">
            <w:pPr>
              <w:rPr>
                <w:lang w:val="tr-TR"/>
              </w:rPr>
            </w:pPr>
            <w:r w:rsidRPr="005C1530">
              <w:rPr>
                <w:lang w:val="tr-TR"/>
              </w:rPr>
              <w:t xml:space="preserve">Yansıtıcı uygulamaya yönelik öneri niteliğindeki sorular: </w:t>
            </w:r>
          </w:p>
          <w:p w14:paraId="241A54B2" w14:textId="77777777" w:rsidR="006F1539" w:rsidRPr="00003AB8" w:rsidRDefault="006F1539" w:rsidP="00003AB8">
            <w:pPr>
              <w:pStyle w:val="NormalTextBulletsLevel1"/>
              <w:numPr>
                <w:ilvl w:val="0"/>
                <w:numId w:val="15"/>
              </w:numPr>
              <w:pBdr>
                <w:top w:val="nil"/>
                <w:left w:val="nil"/>
                <w:bottom w:val="nil"/>
                <w:right w:val="nil"/>
                <w:between w:val="nil"/>
              </w:pBdr>
              <w:ind w:left="641" w:hanging="357"/>
            </w:pPr>
            <w:r w:rsidRPr="00003AB8">
              <w:t>Kaliteli bir CPHA için standartlar nelerdir?</w:t>
            </w:r>
          </w:p>
          <w:p w14:paraId="212FEB56" w14:textId="77777777" w:rsidR="006F1539" w:rsidRPr="00003AB8" w:rsidRDefault="006F1539" w:rsidP="00003AB8">
            <w:pPr>
              <w:pStyle w:val="NormalTextBulletsLevel1"/>
              <w:numPr>
                <w:ilvl w:val="0"/>
                <w:numId w:val="15"/>
              </w:numPr>
              <w:pBdr>
                <w:top w:val="nil"/>
                <w:left w:val="nil"/>
                <w:bottom w:val="nil"/>
                <w:right w:val="nil"/>
                <w:between w:val="nil"/>
              </w:pBdr>
              <w:ind w:left="641" w:hanging="357"/>
            </w:pPr>
            <w:r w:rsidRPr="00003AB8">
              <w:t>CPHA'da koordinasyon neden kilit öneme sahiptir?</w:t>
            </w:r>
          </w:p>
          <w:p w14:paraId="2EB5B143" w14:textId="4663FE56" w:rsidR="006F1539" w:rsidRPr="005C1530" w:rsidRDefault="006F1539" w:rsidP="006F1539">
            <w:pPr>
              <w:pStyle w:val="NormalTextBulletsLevel1"/>
              <w:rPr>
                <w:lang w:val="tr-TR"/>
              </w:rPr>
            </w:pPr>
            <w:r w:rsidRPr="005C1530">
              <w:rPr>
                <w:lang w:val="tr-TR"/>
              </w:rPr>
              <w:t>Program döngüsü yönetiminde dikkate alınması gereken spesifik çocuk koruma hususları nelerdir?</w:t>
            </w:r>
          </w:p>
        </w:tc>
        <w:tc>
          <w:tcPr>
            <w:tcW w:w="5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0B5E348E" w14:textId="77777777" w:rsidR="006F1539" w:rsidRPr="005C1530" w:rsidRDefault="006F1539" w:rsidP="006F1539">
            <w:pPr>
              <w:pStyle w:val="TableSmallBlueHeading"/>
              <w:spacing w:before="0" w:line="300" w:lineRule="auto"/>
              <w:rPr>
                <w:rStyle w:val="Emphasis"/>
                <w:b w:val="0"/>
                <w:i w:val="0"/>
                <w:iCs w:val="0"/>
                <w:lang w:val="tr-TR"/>
              </w:rPr>
            </w:pPr>
          </w:p>
        </w:tc>
        <w:tc>
          <w:tcPr>
            <w:tcW w:w="9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tcPr>
          <w:p w14:paraId="3812DD90" w14:textId="5CA2E3C4" w:rsidR="006F1539" w:rsidRPr="005C1530" w:rsidRDefault="006F1539" w:rsidP="00574C69">
            <w:pPr>
              <w:spacing w:before="120"/>
              <w:rPr>
                <w:rStyle w:val="Emphasis"/>
                <w:i w:val="0"/>
                <w:iCs w:val="0"/>
                <w:lang w:val="tr-TR"/>
              </w:rPr>
            </w:pPr>
            <w:r w:rsidRPr="005C1530">
              <w:rPr>
                <w:lang w:val="tr-TR"/>
              </w:rPr>
              <w:t>5 dk</w:t>
            </w:r>
          </w:p>
        </w:tc>
      </w:tr>
    </w:tbl>
    <w:p w14:paraId="571E01A3" w14:textId="77777777" w:rsidR="00B11BDB" w:rsidRPr="005C1530" w:rsidRDefault="00B11BDB" w:rsidP="00E852A9">
      <w:pPr>
        <w:rPr>
          <w:lang w:val="tr-TR"/>
        </w:rPr>
      </w:pPr>
    </w:p>
    <w:p w14:paraId="1823FB13" w14:textId="77777777" w:rsidR="00C92BE5" w:rsidRPr="005C1530" w:rsidRDefault="00C92BE5" w:rsidP="00E852A9">
      <w:pPr>
        <w:rPr>
          <w:lang w:val="tr-TR"/>
        </w:rPr>
      </w:pPr>
    </w:p>
    <w:p w14:paraId="06F5F6FA" w14:textId="77777777" w:rsidR="00C92BE5" w:rsidRPr="005C1530" w:rsidRDefault="00C92BE5" w:rsidP="00E852A9">
      <w:pPr>
        <w:rPr>
          <w:lang w:val="tr-TR"/>
        </w:rPr>
      </w:pPr>
    </w:p>
    <w:p w14:paraId="425D6988" w14:textId="46F85974" w:rsidR="00C53D96" w:rsidRPr="005C1530" w:rsidRDefault="002E6674" w:rsidP="002E6674">
      <w:pPr>
        <w:pStyle w:val="1Heading1"/>
        <w:rPr>
          <w:lang w:val="tr-TR"/>
        </w:rPr>
      </w:pPr>
      <w:r w:rsidRPr="002E6674">
        <w:rPr>
          <w:lang w:val="tr-TR"/>
        </w:rPr>
        <w:t>Destekleyici Bilgiler</w:t>
      </w:r>
    </w:p>
    <w:p w14:paraId="202781F5" w14:textId="77777777" w:rsidR="00F96683" w:rsidRPr="005C1530" w:rsidRDefault="00F96683" w:rsidP="00E852A9">
      <w:pPr>
        <w:rPr>
          <w:lang w:val="tr-TR"/>
        </w:rPr>
      </w:pPr>
    </w:p>
    <w:p w14:paraId="67AE7EAD" w14:textId="6F474EF5" w:rsidR="00F11B8A" w:rsidRPr="002E6674" w:rsidRDefault="002E6674" w:rsidP="002E6674">
      <w:pPr>
        <w:pStyle w:val="1Heading1"/>
        <w:rPr>
          <w:bCs w:val="0"/>
          <w:lang w:val="tr-TR"/>
        </w:rPr>
      </w:pPr>
      <w:r w:rsidRPr="002E6674">
        <w:rPr>
          <w:bCs w:val="0"/>
          <w:lang w:val="tr-TR"/>
        </w:rPr>
        <w:t>Ek Kaynaklar</w:t>
      </w:r>
    </w:p>
    <w:p w14:paraId="5A6761B2" w14:textId="77777777" w:rsidR="00D556FE" w:rsidRPr="005C1530" w:rsidRDefault="00D556FE" w:rsidP="00E852A9">
      <w:pPr>
        <w:rPr>
          <w:lang w:val="tr-TR"/>
        </w:rPr>
      </w:pPr>
    </w:p>
    <w:p w14:paraId="4B1BD33D" w14:textId="77777777" w:rsidR="00D556FE" w:rsidRPr="005C1530" w:rsidRDefault="00D556FE" w:rsidP="00E852A9">
      <w:pPr>
        <w:rPr>
          <w:lang w:val="tr-TR"/>
        </w:rPr>
      </w:pPr>
    </w:p>
    <w:sectPr w:rsidR="00D556FE" w:rsidRPr="005C1530" w:rsidSect="00106CE9">
      <w:headerReference w:type="default" r:id="rId9"/>
      <w:footerReference w:type="even" r:id="rId10"/>
      <w:footerReference w:type="default" r:id="rId11"/>
      <w:pgSz w:w="16838" w:h="11906" w:orient="landscape" w:code="9"/>
      <w:pgMar w:top="1560" w:right="1223"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218D6" w14:textId="77777777" w:rsidR="004B1152" w:rsidRDefault="004B1152" w:rsidP="00E852A9">
      <w:r>
        <w:separator/>
      </w:r>
    </w:p>
  </w:endnote>
  <w:endnote w:type="continuationSeparator" w:id="0">
    <w:p w14:paraId="7544DC56" w14:textId="77777777" w:rsidR="004B1152" w:rsidRDefault="004B1152" w:rsidP="00E8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E852A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E85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E852A9">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075F5" w14:textId="77777777" w:rsidR="004B1152" w:rsidRDefault="004B1152" w:rsidP="00E852A9">
      <w:r>
        <w:separator/>
      </w:r>
    </w:p>
  </w:footnote>
  <w:footnote w:type="continuationSeparator" w:id="0">
    <w:p w14:paraId="740257DA" w14:textId="77777777" w:rsidR="004B1152" w:rsidRDefault="004B1152" w:rsidP="00E8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E852A9">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AF36E8"/>
    <w:multiLevelType w:val="multilevel"/>
    <w:tmpl w:val="36104D90"/>
    <w:lvl w:ilvl="0">
      <w:start w:val="1"/>
      <w:numFmt w:val="decimal"/>
      <w:lvlText w:val="%1."/>
      <w:lvlJc w:val="left"/>
      <w:pPr>
        <w:ind w:left="720" w:hanging="360"/>
      </w:pPr>
    </w:lvl>
    <w:lvl w:ilvl="1">
      <w:start w:val="40"/>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720057"/>
    <w:multiLevelType w:val="multilevel"/>
    <w:tmpl w:val="8BCA625E"/>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12"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A1BC8"/>
    <w:multiLevelType w:val="hybridMultilevel"/>
    <w:tmpl w:val="DD70B28E"/>
    <w:lvl w:ilvl="0" w:tplc="7C2042CC">
      <w:start w:val="1"/>
      <w:numFmt w:val="bullet"/>
      <w:lvlText w:val=""/>
      <w:lvlJc w:val="left"/>
      <w:pPr>
        <w:ind w:left="1497"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4"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4ADE6183"/>
    <w:multiLevelType w:val="multilevel"/>
    <w:tmpl w:val="735031EC"/>
    <w:lvl w:ilvl="0">
      <w:start w:val="1"/>
      <w:numFmt w:val="bullet"/>
      <w:lvlText w:val="-"/>
      <w:lvlJc w:val="left"/>
      <w:pPr>
        <w:ind w:left="720" w:hanging="360"/>
      </w:pPr>
      <w:rPr>
        <w:rFonts w:ascii="Arial" w:eastAsia="Arial" w:hAnsi="Arial" w:cs="Arial"/>
        <w:b w:val="0"/>
        <w:i w:val="0"/>
        <w:smallCaps w:val="0"/>
        <w:strike w:val="0"/>
        <w:u w:val="none"/>
        <w:vertAlign w:val="baseline"/>
      </w:rPr>
    </w:lvl>
    <w:lvl w:ilvl="1">
      <w:start w:val="1"/>
      <w:numFmt w:val="bullet"/>
      <w:lvlText w:val="o"/>
      <w:lvlJc w:val="left"/>
      <w:pPr>
        <w:ind w:left="1440" w:hanging="360"/>
      </w:pPr>
      <w:rPr>
        <w:rFonts w:ascii="Arial" w:eastAsia="Arial" w:hAnsi="Arial" w:cs="Arial"/>
        <w:b w:val="0"/>
        <w:i w:val="0"/>
        <w:smallCaps w:val="0"/>
        <w:strike w:val="0"/>
        <w:u w:val="none"/>
        <w:vertAlign w:val="baseline"/>
      </w:rPr>
    </w:lvl>
    <w:lvl w:ilvl="2">
      <w:start w:val="1"/>
      <w:numFmt w:val="bullet"/>
      <w:lvlText w:val="▪"/>
      <w:lvlJc w:val="left"/>
      <w:pPr>
        <w:ind w:left="2160" w:hanging="360"/>
      </w:pPr>
      <w:rPr>
        <w:rFonts w:ascii="Arial" w:eastAsia="Arial" w:hAnsi="Arial" w:cs="Arial"/>
        <w:b w:val="0"/>
        <w:i w:val="0"/>
        <w:smallCaps w:val="0"/>
        <w:strike w:val="0"/>
        <w:u w:val="none"/>
        <w:vertAlign w:val="baseline"/>
      </w:rPr>
    </w:lvl>
    <w:lvl w:ilvl="3">
      <w:start w:val="1"/>
      <w:numFmt w:val="bullet"/>
      <w:lvlText w:val="•"/>
      <w:lvlJc w:val="left"/>
      <w:pPr>
        <w:ind w:left="2880" w:hanging="360"/>
      </w:pPr>
      <w:rPr>
        <w:rFonts w:ascii="Arial" w:eastAsia="Arial" w:hAnsi="Arial" w:cs="Arial"/>
        <w:b w:val="0"/>
        <w:i w:val="0"/>
        <w:smallCaps w:val="0"/>
        <w:strike w:val="0"/>
        <w:u w:val="none"/>
        <w:vertAlign w:val="baseline"/>
      </w:rPr>
    </w:lvl>
    <w:lvl w:ilvl="4">
      <w:start w:val="1"/>
      <w:numFmt w:val="bullet"/>
      <w:lvlText w:val="o"/>
      <w:lvlJc w:val="left"/>
      <w:pPr>
        <w:ind w:left="3600" w:hanging="360"/>
      </w:pPr>
      <w:rPr>
        <w:rFonts w:ascii="Arial" w:eastAsia="Arial" w:hAnsi="Arial" w:cs="Arial"/>
        <w:b w:val="0"/>
        <w:i w:val="0"/>
        <w:smallCaps w:val="0"/>
        <w:strike w:val="0"/>
        <w:u w:val="none"/>
        <w:vertAlign w:val="baseline"/>
      </w:rPr>
    </w:lvl>
    <w:lvl w:ilvl="5">
      <w:start w:val="1"/>
      <w:numFmt w:val="bullet"/>
      <w:lvlText w:val="▪"/>
      <w:lvlJc w:val="left"/>
      <w:pPr>
        <w:ind w:left="4320" w:hanging="360"/>
      </w:pPr>
      <w:rPr>
        <w:rFonts w:ascii="Arial" w:eastAsia="Arial" w:hAnsi="Arial" w:cs="Arial"/>
        <w:b w:val="0"/>
        <w:i w:val="0"/>
        <w:smallCaps w:val="0"/>
        <w:strike w:val="0"/>
        <w:u w:val="none"/>
        <w:vertAlign w:val="baseline"/>
      </w:rPr>
    </w:lvl>
    <w:lvl w:ilvl="6">
      <w:start w:val="1"/>
      <w:numFmt w:val="bullet"/>
      <w:lvlText w:val="•"/>
      <w:lvlJc w:val="left"/>
      <w:pPr>
        <w:ind w:left="5040" w:hanging="360"/>
      </w:pPr>
      <w:rPr>
        <w:rFonts w:ascii="Arial" w:eastAsia="Arial" w:hAnsi="Arial" w:cs="Arial"/>
        <w:b w:val="0"/>
        <w:i w:val="0"/>
        <w:smallCaps w:val="0"/>
        <w:strike w:val="0"/>
        <w:u w:val="none"/>
        <w:vertAlign w:val="baseline"/>
      </w:rPr>
    </w:lvl>
    <w:lvl w:ilvl="7">
      <w:start w:val="1"/>
      <w:numFmt w:val="bullet"/>
      <w:lvlText w:val="o"/>
      <w:lvlJc w:val="left"/>
      <w:pPr>
        <w:ind w:left="5760" w:hanging="360"/>
      </w:pPr>
      <w:rPr>
        <w:rFonts w:ascii="Arial" w:eastAsia="Arial" w:hAnsi="Arial" w:cs="Arial"/>
        <w:b w:val="0"/>
        <w:i w:val="0"/>
        <w:smallCaps w:val="0"/>
        <w:strike w:val="0"/>
        <w:u w:val="none"/>
        <w:vertAlign w:val="baseline"/>
      </w:rPr>
    </w:lvl>
    <w:lvl w:ilvl="8">
      <w:start w:val="1"/>
      <w:numFmt w:val="bullet"/>
      <w:lvlText w:val="▪"/>
      <w:lvlJc w:val="left"/>
      <w:pPr>
        <w:ind w:left="6480" w:hanging="360"/>
      </w:pPr>
      <w:rPr>
        <w:rFonts w:ascii="Arial" w:eastAsia="Arial" w:hAnsi="Arial" w:cs="Arial"/>
        <w:b w:val="0"/>
        <w:i w:val="0"/>
        <w:smallCaps w:val="0"/>
        <w:strike w:val="0"/>
        <w:u w:val="none"/>
        <w:vertAlign w:val="baseline"/>
      </w:rPr>
    </w:lvl>
  </w:abstractNum>
  <w:abstractNum w:abstractNumId="16" w15:restartNumberingAfterBreak="0">
    <w:nsid w:val="515A3B86"/>
    <w:multiLevelType w:val="multilevel"/>
    <w:tmpl w:val="A1AE0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8" w15:restartNumberingAfterBreak="0">
    <w:nsid w:val="57CD1D89"/>
    <w:multiLevelType w:val="multilevel"/>
    <w:tmpl w:val="ADECC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023730"/>
    <w:multiLevelType w:val="multilevel"/>
    <w:tmpl w:val="DB001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575002"/>
    <w:multiLevelType w:val="hybridMultilevel"/>
    <w:tmpl w:val="F6047D2C"/>
    <w:lvl w:ilvl="0" w:tplc="7C2042CC">
      <w:start w:val="1"/>
      <w:numFmt w:val="bullet"/>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3"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B94308"/>
    <w:multiLevelType w:val="multilevel"/>
    <w:tmpl w:val="7534EDF6"/>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1"/>
  </w:num>
  <w:num w:numId="8" w16cid:durableId="209920770">
    <w:abstractNumId w:val="7"/>
  </w:num>
  <w:num w:numId="9" w16cid:durableId="1488205232">
    <w:abstractNumId w:val="9"/>
  </w:num>
  <w:num w:numId="10" w16cid:durableId="1967618515">
    <w:abstractNumId w:val="23"/>
  </w:num>
  <w:num w:numId="11" w16cid:durableId="1737974695">
    <w:abstractNumId w:val="12"/>
  </w:num>
  <w:num w:numId="12" w16cid:durableId="778765163">
    <w:abstractNumId w:val="20"/>
  </w:num>
  <w:num w:numId="13" w16cid:durableId="1449592286">
    <w:abstractNumId w:val="6"/>
  </w:num>
  <w:num w:numId="14" w16cid:durableId="603268405">
    <w:abstractNumId w:val="14"/>
  </w:num>
  <w:num w:numId="15" w16cid:durableId="2137290702">
    <w:abstractNumId w:val="22"/>
  </w:num>
  <w:num w:numId="16" w16cid:durableId="265190426">
    <w:abstractNumId w:val="17"/>
  </w:num>
  <w:num w:numId="17" w16cid:durableId="1801337311">
    <w:abstractNumId w:val="8"/>
  </w:num>
  <w:num w:numId="18" w16cid:durableId="25647238">
    <w:abstractNumId w:val="24"/>
  </w:num>
  <w:num w:numId="19" w16cid:durableId="535314566">
    <w:abstractNumId w:val="15"/>
  </w:num>
  <w:num w:numId="20" w16cid:durableId="438795150">
    <w:abstractNumId w:val="10"/>
  </w:num>
  <w:num w:numId="21" w16cid:durableId="709038157">
    <w:abstractNumId w:val="18"/>
  </w:num>
  <w:num w:numId="22" w16cid:durableId="979963802">
    <w:abstractNumId w:val="11"/>
  </w:num>
  <w:num w:numId="23" w16cid:durableId="323097028">
    <w:abstractNumId w:val="6"/>
  </w:num>
  <w:num w:numId="24" w16cid:durableId="1302998943">
    <w:abstractNumId w:val="6"/>
  </w:num>
  <w:num w:numId="25" w16cid:durableId="400643202">
    <w:abstractNumId w:val="6"/>
  </w:num>
  <w:num w:numId="26" w16cid:durableId="1161123474">
    <w:abstractNumId w:val="22"/>
  </w:num>
  <w:num w:numId="27" w16cid:durableId="135922770">
    <w:abstractNumId w:val="22"/>
  </w:num>
  <w:num w:numId="28" w16cid:durableId="94249371">
    <w:abstractNumId w:val="22"/>
  </w:num>
  <w:num w:numId="29" w16cid:durableId="729033290">
    <w:abstractNumId w:val="16"/>
  </w:num>
  <w:num w:numId="30" w16cid:durableId="200820971">
    <w:abstractNumId w:val="19"/>
  </w:num>
  <w:num w:numId="31" w16cid:durableId="90448625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B8"/>
    <w:rsid w:val="000063FB"/>
    <w:rsid w:val="00007299"/>
    <w:rsid w:val="000256A3"/>
    <w:rsid w:val="00025BEE"/>
    <w:rsid w:val="0003222E"/>
    <w:rsid w:val="00037DF8"/>
    <w:rsid w:val="0004041A"/>
    <w:rsid w:val="00042EFD"/>
    <w:rsid w:val="00043DF4"/>
    <w:rsid w:val="00043F66"/>
    <w:rsid w:val="000551C1"/>
    <w:rsid w:val="00066E4E"/>
    <w:rsid w:val="00070047"/>
    <w:rsid w:val="00071860"/>
    <w:rsid w:val="000815D8"/>
    <w:rsid w:val="00082945"/>
    <w:rsid w:val="000856F0"/>
    <w:rsid w:val="00096A42"/>
    <w:rsid w:val="000A1F74"/>
    <w:rsid w:val="000A6D48"/>
    <w:rsid w:val="000B3112"/>
    <w:rsid w:val="000C40FD"/>
    <w:rsid w:val="000C544D"/>
    <w:rsid w:val="000D2C9A"/>
    <w:rsid w:val="000E2D08"/>
    <w:rsid w:val="000E567A"/>
    <w:rsid w:val="000F7D38"/>
    <w:rsid w:val="00100884"/>
    <w:rsid w:val="001020F3"/>
    <w:rsid w:val="00102C0A"/>
    <w:rsid w:val="00106CE9"/>
    <w:rsid w:val="00111353"/>
    <w:rsid w:val="00114F49"/>
    <w:rsid w:val="001162ED"/>
    <w:rsid w:val="0011712B"/>
    <w:rsid w:val="0011763C"/>
    <w:rsid w:val="00120045"/>
    <w:rsid w:val="00121CD4"/>
    <w:rsid w:val="00122885"/>
    <w:rsid w:val="00123469"/>
    <w:rsid w:val="00126022"/>
    <w:rsid w:val="001262E9"/>
    <w:rsid w:val="00151C57"/>
    <w:rsid w:val="00165BDB"/>
    <w:rsid w:val="00167184"/>
    <w:rsid w:val="00167E70"/>
    <w:rsid w:val="00171CFC"/>
    <w:rsid w:val="0017581E"/>
    <w:rsid w:val="001822CD"/>
    <w:rsid w:val="001949B4"/>
    <w:rsid w:val="00195A6F"/>
    <w:rsid w:val="001A4E51"/>
    <w:rsid w:val="001A5B2E"/>
    <w:rsid w:val="001B459E"/>
    <w:rsid w:val="001C787A"/>
    <w:rsid w:val="001D2890"/>
    <w:rsid w:val="001D3BF0"/>
    <w:rsid w:val="001E0E49"/>
    <w:rsid w:val="001E1507"/>
    <w:rsid w:val="001E7894"/>
    <w:rsid w:val="001F12EA"/>
    <w:rsid w:val="001F3115"/>
    <w:rsid w:val="00200147"/>
    <w:rsid w:val="00200E93"/>
    <w:rsid w:val="00221051"/>
    <w:rsid w:val="00222921"/>
    <w:rsid w:val="0022703F"/>
    <w:rsid w:val="00227177"/>
    <w:rsid w:val="00232D1A"/>
    <w:rsid w:val="0024593E"/>
    <w:rsid w:val="00256AED"/>
    <w:rsid w:val="00261C71"/>
    <w:rsid w:val="00263268"/>
    <w:rsid w:val="00264B8C"/>
    <w:rsid w:val="00270A09"/>
    <w:rsid w:val="00270E7A"/>
    <w:rsid w:val="00272DB4"/>
    <w:rsid w:val="00273A0A"/>
    <w:rsid w:val="00274746"/>
    <w:rsid w:val="00283FC8"/>
    <w:rsid w:val="00290E26"/>
    <w:rsid w:val="002A26BD"/>
    <w:rsid w:val="002A4B73"/>
    <w:rsid w:val="002B0B75"/>
    <w:rsid w:val="002B2FB0"/>
    <w:rsid w:val="002B32F2"/>
    <w:rsid w:val="002B4588"/>
    <w:rsid w:val="002B7BB4"/>
    <w:rsid w:val="002C16F2"/>
    <w:rsid w:val="002C43F3"/>
    <w:rsid w:val="002C55BC"/>
    <w:rsid w:val="002D1058"/>
    <w:rsid w:val="002D3C89"/>
    <w:rsid w:val="002E1C49"/>
    <w:rsid w:val="002E3096"/>
    <w:rsid w:val="002E6674"/>
    <w:rsid w:val="002F31F0"/>
    <w:rsid w:val="00306D58"/>
    <w:rsid w:val="0031183C"/>
    <w:rsid w:val="0031555B"/>
    <w:rsid w:val="00315FD3"/>
    <w:rsid w:val="00322BDC"/>
    <w:rsid w:val="00331CC8"/>
    <w:rsid w:val="00332C25"/>
    <w:rsid w:val="0033320B"/>
    <w:rsid w:val="00335E68"/>
    <w:rsid w:val="0033683E"/>
    <w:rsid w:val="00336EDF"/>
    <w:rsid w:val="003452B8"/>
    <w:rsid w:val="0035251E"/>
    <w:rsid w:val="0035522E"/>
    <w:rsid w:val="00361A4C"/>
    <w:rsid w:val="00362AFF"/>
    <w:rsid w:val="003742FA"/>
    <w:rsid w:val="00375BF5"/>
    <w:rsid w:val="0038071B"/>
    <w:rsid w:val="00380AD6"/>
    <w:rsid w:val="003812E5"/>
    <w:rsid w:val="00383E42"/>
    <w:rsid w:val="0038454F"/>
    <w:rsid w:val="0038590D"/>
    <w:rsid w:val="00390ECC"/>
    <w:rsid w:val="003954E3"/>
    <w:rsid w:val="00395B8B"/>
    <w:rsid w:val="00397DD3"/>
    <w:rsid w:val="003A1507"/>
    <w:rsid w:val="003A729C"/>
    <w:rsid w:val="003B184F"/>
    <w:rsid w:val="003B209D"/>
    <w:rsid w:val="003B2E76"/>
    <w:rsid w:val="003C57B2"/>
    <w:rsid w:val="003C637E"/>
    <w:rsid w:val="003C7AFF"/>
    <w:rsid w:val="003D0BF0"/>
    <w:rsid w:val="003D1A61"/>
    <w:rsid w:val="003D684C"/>
    <w:rsid w:val="003E0223"/>
    <w:rsid w:val="003E3C90"/>
    <w:rsid w:val="003F18FE"/>
    <w:rsid w:val="003F7E98"/>
    <w:rsid w:val="00404A60"/>
    <w:rsid w:val="00405880"/>
    <w:rsid w:val="0041017E"/>
    <w:rsid w:val="00411AF2"/>
    <w:rsid w:val="00431CCD"/>
    <w:rsid w:val="004339B1"/>
    <w:rsid w:val="004361C5"/>
    <w:rsid w:val="0044124C"/>
    <w:rsid w:val="00442077"/>
    <w:rsid w:val="00442CC5"/>
    <w:rsid w:val="00461C65"/>
    <w:rsid w:val="0046463A"/>
    <w:rsid w:val="00464ABA"/>
    <w:rsid w:val="0046604C"/>
    <w:rsid w:val="00472B81"/>
    <w:rsid w:val="00473003"/>
    <w:rsid w:val="00481F23"/>
    <w:rsid w:val="004825A4"/>
    <w:rsid w:val="0048645E"/>
    <w:rsid w:val="00493694"/>
    <w:rsid w:val="00496859"/>
    <w:rsid w:val="004A1C84"/>
    <w:rsid w:val="004A69D8"/>
    <w:rsid w:val="004B1152"/>
    <w:rsid w:val="004B2FBC"/>
    <w:rsid w:val="004B3392"/>
    <w:rsid w:val="004C6180"/>
    <w:rsid w:val="004C7B82"/>
    <w:rsid w:val="004D125A"/>
    <w:rsid w:val="004D2441"/>
    <w:rsid w:val="004D2A08"/>
    <w:rsid w:val="004D42B9"/>
    <w:rsid w:val="004D463D"/>
    <w:rsid w:val="004D5499"/>
    <w:rsid w:val="004E4D53"/>
    <w:rsid w:val="004E50CD"/>
    <w:rsid w:val="004E5908"/>
    <w:rsid w:val="004F7CEE"/>
    <w:rsid w:val="00500D53"/>
    <w:rsid w:val="005072D6"/>
    <w:rsid w:val="005136AB"/>
    <w:rsid w:val="00520DE6"/>
    <w:rsid w:val="00520FF2"/>
    <w:rsid w:val="00522C3E"/>
    <w:rsid w:val="005265F0"/>
    <w:rsid w:val="0055332C"/>
    <w:rsid w:val="0055659B"/>
    <w:rsid w:val="00565C03"/>
    <w:rsid w:val="00566755"/>
    <w:rsid w:val="005730B8"/>
    <w:rsid w:val="00574C69"/>
    <w:rsid w:val="00577E15"/>
    <w:rsid w:val="00582B20"/>
    <w:rsid w:val="00583EBE"/>
    <w:rsid w:val="00586250"/>
    <w:rsid w:val="00591CD5"/>
    <w:rsid w:val="0059398D"/>
    <w:rsid w:val="005A07DB"/>
    <w:rsid w:val="005A41ED"/>
    <w:rsid w:val="005A73AB"/>
    <w:rsid w:val="005B313E"/>
    <w:rsid w:val="005B638D"/>
    <w:rsid w:val="005C1530"/>
    <w:rsid w:val="005C243B"/>
    <w:rsid w:val="005E160D"/>
    <w:rsid w:val="005E16E1"/>
    <w:rsid w:val="005E2B0B"/>
    <w:rsid w:val="005E3A50"/>
    <w:rsid w:val="005E44A4"/>
    <w:rsid w:val="005E6D26"/>
    <w:rsid w:val="005F203E"/>
    <w:rsid w:val="005F39C1"/>
    <w:rsid w:val="005F78C7"/>
    <w:rsid w:val="0060204C"/>
    <w:rsid w:val="0060646B"/>
    <w:rsid w:val="00612D9A"/>
    <w:rsid w:val="006154AB"/>
    <w:rsid w:val="0062330A"/>
    <w:rsid w:val="00625385"/>
    <w:rsid w:val="006269A6"/>
    <w:rsid w:val="0062766C"/>
    <w:rsid w:val="00631B59"/>
    <w:rsid w:val="00636859"/>
    <w:rsid w:val="00642DCD"/>
    <w:rsid w:val="00644903"/>
    <w:rsid w:val="00653019"/>
    <w:rsid w:val="00657E43"/>
    <w:rsid w:val="0067105C"/>
    <w:rsid w:val="006815DF"/>
    <w:rsid w:val="00681E1E"/>
    <w:rsid w:val="00683E91"/>
    <w:rsid w:val="0068737E"/>
    <w:rsid w:val="006901CE"/>
    <w:rsid w:val="00693399"/>
    <w:rsid w:val="006A0D14"/>
    <w:rsid w:val="006A6E15"/>
    <w:rsid w:val="006A77BF"/>
    <w:rsid w:val="006B357B"/>
    <w:rsid w:val="006B787E"/>
    <w:rsid w:val="006C6094"/>
    <w:rsid w:val="006D36BF"/>
    <w:rsid w:val="006D7B92"/>
    <w:rsid w:val="006F1539"/>
    <w:rsid w:val="006F3201"/>
    <w:rsid w:val="006F5E08"/>
    <w:rsid w:val="007048D2"/>
    <w:rsid w:val="007056C9"/>
    <w:rsid w:val="00710FF4"/>
    <w:rsid w:val="007139CF"/>
    <w:rsid w:val="00716D84"/>
    <w:rsid w:val="00716F73"/>
    <w:rsid w:val="007225B3"/>
    <w:rsid w:val="00730614"/>
    <w:rsid w:val="00730F05"/>
    <w:rsid w:val="007314B0"/>
    <w:rsid w:val="007355DD"/>
    <w:rsid w:val="0074643B"/>
    <w:rsid w:val="00753919"/>
    <w:rsid w:val="00763989"/>
    <w:rsid w:val="0076516F"/>
    <w:rsid w:val="007676CF"/>
    <w:rsid w:val="00772A49"/>
    <w:rsid w:val="00781414"/>
    <w:rsid w:val="00792A0E"/>
    <w:rsid w:val="00795AC5"/>
    <w:rsid w:val="00796E2C"/>
    <w:rsid w:val="007A1A42"/>
    <w:rsid w:val="007A2A5B"/>
    <w:rsid w:val="007B355F"/>
    <w:rsid w:val="007B51F8"/>
    <w:rsid w:val="007C0D63"/>
    <w:rsid w:val="007C60E5"/>
    <w:rsid w:val="007C6D87"/>
    <w:rsid w:val="007D4390"/>
    <w:rsid w:val="007D6403"/>
    <w:rsid w:val="007E0B29"/>
    <w:rsid w:val="007F0134"/>
    <w:rsid w:val="007F281B"/>
    <w:rsid w:val="007F45A3"/>
    <w:rsid w:val="00802017"/>
    <w:rsid w:val="008021B3"/>
    <w:rsid w:val="00806858"/>
    <w:rsid w:val="00807F81"/>
    <w:rsid w:val="00844299"/>
    <w:rsid w:val="00856CC3"/>
    <w:rsid w:val="00857BA0"/>
    <w:rsid w:val="00862B76"/>
    <w:rsid w:val="00864647"/>
    <w:rsid w:val="0086548E"/>
    <w:rsid w:val="00871A58"/>
    <w:rsid w:val="0087299D"/>
    <w:rsid w:val="00875428"/>
    <w:rsid w:val="008829D9"/>
    <w:rsid w:val="00885F7C"/>
    <w:rsid w:val="00890858"/>
    <w:rsid w:val="00892759"/>
    <w:rsid w:val="00893E48"/>
    <w:rsid w:val="008A1ECF"/>
    <w:rsid w:val="008B039D"/>
    <w:rsid w:val="008B051C"/>
    <w:rsid w:val="008B1735"/>
    <w:rsid w:val="008B462C"/>
    <w:rsid w:val="008B4B3D"/>
    <w:rsid w:val="008C2B38"/>
    <w:rsid w:val="008D06BF"/>
    <w:rsid w:val="008D073D"/>
    <w:rsid w:val="008D3663"/>
    <w:rsid w:val="008F1B5D"/>
    <w:rsid w:val="008F2FAD"/>
    <w:rsid w:val="00901D03"/>
    <w:rsid w:val="00903A62"/>
    <w:rsid w:val="009136B5"/>
    <w:rsid w:val="00917B82"/>
    <w:rsid w:val="009262C9"/>
    <w:rsid w:val="00927D93"/>
    <w:rsid w:val="0093582A"/>
    <w:rsid w:val="00954ABB"/>
    <w:rsid w:val="00955F0D"/>
    <w:rsid w:val="00955FE1"/>
    <w:rsid w:val="009626FF"/>
    <w:rsid w:val="0096534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9F38FF"/>
    <w:rsid w:val="009F4CD1"/>
    <w:rsid w:val="009F4F07"/>
    <w:rsid w:val="009F58D9"/>
    <w:rsid w:val="009F5C9B"/>
    <w:rsid w:val="00A000C1"/>
    <w:rsid w:val="00A0416E"/>
    <w:rsid w:val="00A05555"/>
    <w:rsid w:val="00A22DC4"/>
    <w:rsid w:val="00A341D9"/>
    <w:rsid w:val="00A3621E"/>
    <w:rsid w:val="00A47B94"/>
    <w:rsid w:val="00A54234"/>
    <w:rsid w:val="00A55FA7"/>
    <w:rsid w:val="00A5633F"/>
    <w:rsid w:val="00A63219"/>
    <w:rsid w:val="00A74731"/>
    <w:rsid w:val="00A80E6A"/>
    <w:rsid w:val="00A80EB3"/>
    <w:rsid w:val="00A8236D"/>
    <w:rsid w:val="00A838A4"/>
    <w:rsid w:val="00A8663C"/>
    <w:rsid w:val="00A903D6"/>
    <w:rsid w:val="00A92CA5"/>
    <w:rsid w:val="00A975BE"/>
    <w:rsid w:val="00AA5928"/>
    <w:rsid w:val="00AB1C5D"/>
    <w:rsid w:val="00AB5714"/>
    <w:rsid w:val="00AC392E"/>
    <w:rsid w:val="00AC4257"/>
    <w:rsid w:val="00AC4DA9"/>
    <w:rsid w:val="00AD45CF"/>
    <w:rsid w:val="00AD6C6D"/>
    <w:rsid w:val="00AE2006"/>
    <w:rsid w:val="00AE3120"/>
    <w:rsid w:val="00AE5CF0"/>
    <w:rsid w:val="00AF1F68"/>
    <w:rsid w:val="00B06DC8"/>
    <w:rsid w:val="00B10652"/>
    <w:rsid w:val="00B11BDB"/>
    <w:rsid w:val="00B16526"/>
    <w:rsid w:val="00B1716F"/>
    <w:rsid w:val="00B1753A"/>
    <w:rsid w:val="00B2036D"/>
    <w:rsid w:val="00B32228"/>
    <w:rsid w:val="00B464D0"/>
    <w:rsid w:val="00B4785C"/>
    <w:rsid w:val="00B53841"/>
    <w:rsid w:val="00B6340C"/>
    <w:rsid w:val="00B63478"/>
    <w:rsid w:val="00B6514C"/>
    <w:rsid w:val="00B67948"/>
    <w:rsid w:val="00B71066"/>
    <w:rsid w:val="00B760C7"/>
    <w:rsid w:val="00B77057"/>
    <w:rsid w:val="00B819A5"/>
    <w:rsid w:val="00B81DD7"/>
    <w:rsid w:val="00B85AD3"/>
    <w:rsid w:val="00B8657B"/>
    <w:rsid w:val="00B86929"/>
    <w:rsid w:val="00B878CF"/>
    <w:rsid w:val="00B90C47"/>
    <w:rsid w:val="00B90D14"/>
    <w:rsid w:val="00B94ECB"/>
    <w:rsid w:val="00BA2D17"/>
    <w:rsid w:val="00BA330C"/>
    <w:rsid w:val="00BB499B"/>
    <w:rsid w:val="00BB6AB0"/>
    <w:rsid w:val="00BC577B"/>
    <w:rsid w:val="00BD5FF8"/>
    <w:rsid w:val="00BE0CCA"/>
    <w:rsid w:val="00BF0E95"/>
    <w:rsid w:val="00BF0FE6"/>
    <w:rsid w:val="00BF46B5"/>
    <w:rsid w:val="00BF5183"/>
    <w:rsid w:val="00BF6052"/>
    <w:rsid w:val="00BF76FC"/>
    <w:rsid w:val="00C01F3A"/>
    <w:rsid w:val="00C0216A"/>
    <w:rsid w:val="00C0538F"/>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183D"/>
    <w:rsid w:val="00C92BE5"/>
    <w:rsid w:val="00C96D28"/>
    <w:rsid w:val="00C96D9F"/>
    <w:rsid w:val="00CA47E8"/>
    <w:rsid w:val="00CA5852"/>
    <w:rsid w:val="00CB4F5C"/>
    <w:rsid w:val="00CC21C2"/>
    <w:rsid w:val="00CC5192"/>
    <w:rsid w:val="00CD026E"/>
    <w:rsid w:val="00CD4FAA"/>
    <w:rsid w:val="00CD51C0"/>
    <w:rsid w:val="00CE1C4E"/>
    <w:rsid w:val="00CE316F"/>
    <w:rsid w:val="00CE68EA"/>
    <w:rsid w:val="00CF1376"/>
    <w:rsid w:val="00CF3555"/>
    <w:rsid w:val="00CF4515"/>
    <w:rsid w:val="00CF54C4"/>
    <w:rsid w:val="00CF6EB1"/>
    <w:rsid w:val="00CF70FB"/>
    <w:rsid w:val="00D0395D"/>
    <w:rsid w:val="00D07D72"/>
    <w:rsid w:val="00D16380"/>
    <w:rsid w:val="00D16741"/>
    <w:rsid w:val="00D179E0"/>
    <w:rsid w:val="00D24EC3"/>
    <w:rsid w:val="00D2619C"/>
    <w:rsid w:val="00D314D9"/>
    <w:rsid w:val="00D33088"/>
    <w:rsid w:val="00D53831"/>
    <w:rsid w:val="00D53F8C"/>
    <w:rsid w:val="00D54152"/>
    <w:rsid w:val="00D556FE"/>
    <w:rsid w:val="00D56360"/>
    <w:rsid w:val="00D82F58"/>
    <w:rsid w:val="00D83A05"/>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DF5CB2"/>
    <w:rsid w:val="00E0506C"/>
    <w:rsid w:val="00E11AE8"/>
    <w:rsid w:val="00E14236"/>
    <w:rsid w:val="00E1691E"/>
    <w:rsid w:val="00E234E3"/>
    <w:rsid w:val="00E2352A"/>
    <w:rsid w:val="00E41763"/>
    <w:rsid w:val="00E47570"/>
    <w:rsid w:val="00E54B53"/>
    <w:rsid w:val="00E62A52"/>
    <w:rsid w:val="00E63327"/>
    <w:rsid w:val="00E64495"/>
    <w:rsid w:val="00E6735A"/>
    <w:rsid w:val="00E7075D"/>
    <w:rsid w:val="00E72409"/>
    <w:rsid w:val="00E731BE"/>
    <w:rsid w:val="00E741B3"/>
    <w:rsid w:val="00E80270"/>
    <w:rsid w:val="00E83BF0"/>
    <w:rsid w:val="00E852A9"/>
    <w:rsid w:val="00E85FBB"/>
    <w:rsid w:val="00E872A5"/>
    <w:rsid w:val="00E91BD2"/>
    <w:rsid w:val="00E936D1"/>
    <w:rsid w:val="00E969B9"/>
    <w:rsid w:val="00EA12B8"/>
    <w:rsid w:val="00EA183C"/>
    <w:rsid w:val="00EA28B2"/>
    <w:rsid w:val="00EA3B39"/>
    <w:rsid w:val="00EA546B"/>
    <w:rsid w:val="00EB1CBF"/>
    <w:rsid w:val="00EC0390"/>
    <w:rsid w:val="00EC768B"/>
    <w:rsid w:val="00ED1EA3"/>
    <w:rsid w:val="00ED33C7"/>
    <w:rsid w:val="00EF06A8"/>
    <w:rsid w:val="00F11AEB"/>
    <w:rsid w:val="00F11B8A"/>
    <w:rsid w:val="00F174DA"/>
    <w:rsid w:val="00F22D66"/>
    <w:rsid w:val="00F24611"/>
    <w:rsid w:val="00F31A8A"/>
    <w:rsid w:val="00F32533"/>
    <w:rsid w:val="00F32A42"/>
    <w:rsid w:val="00F35795"/>
    <w:rsid w:val="00F441F4"/>
    <w:rsid w:val="00F60686"/>
    <w:rsid w:val="00F60FCC"/>
    <w:rsid w:val="00F71D9E"/>
    <w:rsid w:val="00F72BAC"/>
    <w:rsid w:val="00F812CC"/>
    <w:rsid w:val="00F94603"/>
    <w:rsid w:val="00F96683"/>
    <w:rsid w:val="00FA2C56"/>
    <w:rsid w:val="00FB4CB9"/>
    <w:rsid w:val="00FC1696"/>
    <w:rsid w:val="00FC1B61"/>
    <w:rsid w:val="00FC3B0A"/>
    <w:rsid w:val="00FC56D3"/>
    <w:rsid w:val="00FD00E0"/>
    <w:rsid w:val="00FD0106"/>
    <w:rsid w:val="00FD2DD3"/>
    <w:rsid w:val="00FD4D05"/>
    <w:rsid w:val="00FD53A6"/>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E852A9"/>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A0416E"/>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ind w:left="0"/>
    </w:pPr>
  </w:style>
  <w:style w:type="paragraph" w:customStyle="1" w:styleId="TablWhiteHeading0MArgins">
    <w:name w:val="Tabl White Heading 0 MArgins"/>
    <w:basedOn w:val="TableWhiteHeadings"/>
    <w:rsid w:val="00B90C47"/>
    <w:pPr>
      <w:ind w:left="0"/>
    </w:pPr>
    <w:rPr>
      <w:rFonts w:ascii="Open Sans" w:hAnsi="Open Sans" w:cs="Open Sans"/>
    </w:r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26</cp:revision>
  <dcterms:created xsi:type="dcterms:W3CDTF">2024-08-23T12:25:00Z</dcterms:created>
  <dcterms:modified xsi:type="dcterms:W3CDTF">2024-08-23T14:24:00Z</dcterms:modified>
</cp:coreProperties>
</file>