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2382203</wp:posOffset>
                </wp:positionH>
                <wp:positionV relativeFrom="page">
                  <wp:posOffset>197168</wp:posOffset>
                </wp:positionV>
                <wp:extent cx="6078855" cy="553085"/>
                <wp:effectExtent b="0" l="0" r="0" t="0"/>
                <wp:wrapNone/>
                <wp:docPr id="4" name=""/>
                <a:graphic>
                  <a:graphicData uri="http://schemas.microsoft.com/office/word/2010/wordprocessingShape">
                    <wps:wsp>
                      <wps:cNvSpPr/>
                      <wps:cNvPr id="3" name="Shape 3"/>
                      <wps:spPr>
                        <a:xfrm>
                          <a:off x="2311335" y="3508220"/>
                          <a:ext cx="6069330" cy="543560"/>
                        </a:xfrm>
                        <a:custGeom>
                          <a:rect b="b" l="l" r="r" t="t"/>
                          <a:pathLst>
                            <a:path extrusionOk="0" h="543560" w="6069330">
                              <a:moveTo>
                                <a:pt x="0" y="0"/>
                              </a:moveTo>
                              <a:lnTo>
                                <a:pt x="0" y="543560"/>
                              </a:lnTo>
                              <a:lnTo>
                                <a:pt x="6069330" y="543560"/>
                              </a:lnTo>
                              <a:lnTo>
                                <a:pt x="6069330" y="0"/>
                              </a:lnTo>
                              <a:close/>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2382203</wp:posOffset>
                </wp:positionH>
                <wp:positionV relativeFrom="page">
                  <wp:posOffset>197168</wp:posOffset>
                </wp:positionV>
                <wp:extent cx="6078855" cy="553085"/>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78855" cy="553085"/>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180975</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0" y="635000"/>
                              </a:lnTo>
                              <a:lnTo>
                                <a:pt x="635000" y="635000"/>
                              </a:lnTo>
                              <a:lnTo>
                                <a:pt x="635000" y="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180975</wp:posOffset>
                </wp:positionH>
                <wp:positionV relativeFrom="paragraph">
                  <wp:posOffset>0</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b w:val="1"/>
          <w:color w:val="418fde"/>
          <w:sz w:val="22"/>
          <w:szCs w:val="22"/>
        </w:rPr>
      </w:pPr>
      <w:r w:rsidDel="00000000" w:rsidR="00000000" w:rsidRPr="00000000">
        <w:rPr>
          <w:rFonts w:ascii="Arial" w:cs="Arial" w:eastAsia="Arial" w:hAnsi="Arial"/>
          <w:b w:val="1"/>
          <w:color w:val="418fde"/>
          <w:sz w:val="22"/>
          <w:szCs w:val="22"/>
          <w:rtl w:val="0"/>
        </w:rPr>
        <w:t xml:space="preserve">_______________________________________________________________________</w:t>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color w:val="418fde"/>
          <w:sz w:val="20"/>
          <w:szCs w:val="20"/>
        </w:rPr>
      </w:pPr>
      <w:r w:rsidDel="00000000" w:rsidR="00000000" w:rsidRPr="00000000">
        <w:rPr>
          <w:rFonts w:ascii="Arial" w:cs="Arial" w:eastAsia="Arial" w:hAnsi="Arial"/>
          <w:color w:val="418fde"/>
          <w:sz w:val="20"/>
          <w:szCs w:val="20"/>
          <w:rtl w:val="0"/>
        </w:rPr>
        <w:t xml:space="preserve">Este informe ha sido elaborado por OCHA Abari en colaboración con socios humanitarios bajo el Equipo Humanitario de País de Abari. Abarca el período comprendido </w:t>
      </w:r>
      <w:r w:rsidDel="00000000" w:rsidR="00000000" w:rsidRPr="00000000">
        <w:rPr>
          <w:rFonts w:ascii="Arial" w:cs="Arial" w:eastAsia="Arial" w:hAnsi="Arial"/>
          <w:color w:val="ff0000"/>
          <w:sz w:val="20"/>
          <w:szCs w:val="20"/>
          <w:rtl w:val="0"/>
        </w:rPr>
        <w:t xml:space="preserve">entre [SIM-14 días y SIM-1 día]</w:t>
      </w:r>
      <w:r w:rsidDel="00000000" w:rsidR="00000000" w:rsidRPr="00000000">
        <w:rPr>
          <w:rFonts w:ascii="Arial" w:cs="Arial" w:eastAsia="Arial" w:hAnsi="Arial"/>
          <w:color w:val="418fde"/>
          <w:sz w:val="20"/>
          <w:szCs w:val="20"/>
          <w:rtl w:val="0"/>
        </w:rPr>
        <w:t xml:space="preserve">.</w:t>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Resumen de la situación</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Supertifón Jane entró en la zona de responsabilidad de Abari el </w:t>
      </w:r>
      <w:r w:rsidDel="00000000" w:rsidR="00000000" w:rsidRPr="00000000">
        <w:rPr>
          <w:rFonts w:ascii="Arial" w:cs="Arial" w:eastAsia="Arial" w:hAnsi="Arial"/>
          <w:color w:val="ff0000"/>
          <w:sz w:val="20"/>
          <w:szCs w:val="20"/>
          <w:rtl w:val="0"/>
        </w:rPr>
        <w:t xml:space="preserve">[SIM-70 días] </w:t>
      </w:r>
      <w:r w:rsidDel="00000000" w:rsidR="00000000" w:rsidRPr="00000000">
        <w:rPr>
          <w:rFonts w:ascii="Arial" w:cs="Arial" w:eastAsia="Arial" w:hAnsi="Arial"/>
          <w:sz w:val="20"/>
          <w:szCs w:val="20"/>
          <w:rtl w:val="0"/>
        </w:rPr>
        <w:t xml:space="preserve">y se intensificó rápidamente hasta convertirse en un tifón de categoría 5, con vientos máximos de hasta 235 km/hora. Entre [SIM-68 días] </w:t>
      </w:r>
      <w:r w:rsidDel="00000000" w:rsidR="00000000" w:rsidRPr="00000000">
        <w:rPr>
          <w:rFonts w:ascii="Arial" w:cs="Arial" w:eastAsia="Arial" w:hAnsi="Arial"/>
          <w:color w:val="ff0000"/>
          <w:sz w:val="20"/>
          <w:szCs w:val="20"/>
          <w:rtl w:val="0"/>
        </w:rPr>
        <w:t xml:space="preserve">y [SIM-67 días] </w:t>
      </w:r>
      <w:r w:rsidDel="00000000" w:rsidR="00000000" w:rsidRPr="00000000">
        <w:rPr>
          <w:rFonts w:ascii="Arial" w:cs="Arial" w:eastAsia="Arial" w:hAnsi="Arial"/>
          <w:sz w:val="20"/>
          <w:szCs w:val="20"/>
          <w:rtl w:val="0"/>
        </w:rPr>
        <w:t xml:space="preserve">tocó tierra en nueve ocasiones en las provincias de Dethreea y Detua. Jane abandonó la zona de responsabilidad de Abari el [</w:t>
      </w:r>
      <w:r w:rsidDel="00000000" w:rsidR="00000000" w:rsidRPr="00000000">
        <w:rPr>
          <w:rFonts w:ascii="Arial" w:cs="Arial" w:eastAsia="Arial" w:hAnsi="Arial"/>
          <w:color w:val="ff0000"/>
          <w:sz w:val="20"/>
          <w:szCs w:val="20"/>
          <w:rtl w:val="0"/>
        </w:rPr>
        <w:t xml:space="preserve">SIM-66 días]</w:t>
      </w:r>
      <w:r w:rsidDel="00000000" w:rsidR="00000000" w:rsidRPr="00000000">
        <w:rPr>
          <w:rFonts w:ascii="Arial" w:cs="Arial" w:eastAsia="Arial" w:hAnsi="Arial"/>
          <w:sz w:val="20"/>
          <w:szCs w:val="20"/>
          <w:rtl w:val="0"/>
        </w:rPr>
        <w:t xml:space="preserve">. El [</w:t>
      </w:r>
      <w:r w:rsidDel="00000000" w:rsidR="00000000" w:rsidRPr="00000000">
        <w:rPr>
          <w:rFonts w:ascii="Arial" w:cs="Arial" w:eastAsia="Arial" w:hAnsi="Arial"/>
          <w:color w:val="ff0000"/>
          <w:sz w:val="20"/>
          <w:szCs w:val="20"/>
          <w:rtl w:val="0"/>
        </w:rPr>
        <w:t xml:space="preserve">SIM-63 días]</w:t>
      </w:r>
      <w:r w:rsidDel="00000000" w:rsidR="00000000" w:rsidRPr="00000000">
        <w:rPr>
          <w:rFonts w:ascii="Arial" w:cs="Arial" w:eastAsia="Arial" w:hAnsi="Arial"/>
          <w:sz w:val="20"/>
          <w:szCs w:val="20"/>
          <w:rtl w:val="0"/>
        </w:rPr>
        <w:t xml:space="preserve">, el Gobierno de Abari declaró el estado de calamidad sobre las regiones durante un año debido al impacto y los daños causados por el tifón Jane. La declaración permite a las autoridades locales recurrir a sus fondos de calamidad para ayudar a las comunidades afectadas por el tifón. También permite controlar los precios de los productos básicos en las zonas devastadas y acelerar las labores de rescate y socorro. El Gobierno anunció su disposición a aceptar ayuda internacional para atender las necesidades más inmediatas de los afectados. A fecha de </w:t>
      </w:r>
      <w:r w:rsidDel="00000000" w:rsidR="00000000" w:rsidRPr="00000000">
        <w:rPr>
          <w:rFonts w:ascii="Arial" w:cs="Arial" w:eastAsia="Arial" w:hAnsi="Arial"/>
          <w:color w:val="ff0000"/>
          <w:sz w:val="20"/>
          <w:szCs w:val="20"/>
          <w:rtl w:val="0"/>
        </w:rPr>
        <w:t xml:space="preserve">[SIM-43 días]</w:t>
      </w:r>
      <w:r w:rsidDel="00000000" w:rsidR="00000000" w:rsidRPr="00000000">
        <w:rPr>
          <w:rFonts w:ascii="Arial" w:cs="Arial" w:eastAsia="Arial" w:hAnsi="Arial"/>
          <w:sz w:val="20"/>
          <w:szCs w:val="20"/>
          <w:rtl w:val="0"/>
        </w:rPr>
        <w:t xml:space="preserve">, los informes indican que hay más de 2 millones de personas afectadas en las 2 provincias. El último informe del Gobierno confirma ahora que 41,719 familias (159,709 personas) siguen desplazadas en centros de evacuación (CE), mientras que 12,110 familias (41,618 personas) están desplazadas fuera de los CE. El número de muertos asciende a 405, con 1,261 heridos y 65 desaparecidos. Mientras continúan las evaluaciones, el número de casas dañadas ha aumentado a 360,447, con 154,476 destruidas y 205,971 parcialmente dañadas. Según el Consejo Nacional de Reducción del Riesgo de Desastres, 15 ciudades/municipios han restablecido el suministro eléctrico de los 54 que sufrieron cortes o interrupciones. Mientras tanto, 30 ciudades/municipios han restablecido las líneas de comunicación de 60 que sufrieron interrupciones de los servicios. Cuatro de los 26 municipios han restablecido el suministro de agua. Los daños estimados en la agricultura incluyen 135,327 hectáreas de cultivos, 70,308 cabezas de ganado y aves de corral, y 6,253 piezas de infraestructura y equipos agrícolas. Las necesidades urgentes son alimentos y artículos no alimentarios (NFI), agua potable e instalaciones de saneamiento, refugio, kits de higiene, suministros médicos y restauración de los medios de subsistencia.</w:t>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RESPUESTA HUMANITARIA (NECESIDADES, RESPUESTAS, DEFICIENCIAS/OBSTÁCULOS) Nota: El Grupo NRG se basa en la información disponible de las evaluaciones de los grupos temáticos y los informes gubernamentales. Este informe sólo refleja las actividades de respuesta llevadas a cabo por los miembros del HCT. Se actualiza de forma continua.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Coordinación y Gestión de Campamentos </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Necesidades </w:t>
      </w:r>
    </w:p>
    <w:p w:rsidR="00000000" w:rsidDel="00000000" w:rsidP="00000000" w:rsidRDefault="00000000" w:rsidRPr="00000000" w14:paraId="00000011">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fecha de </w:t>
      </w:r>
      <w:r w:rsidDel="00000000" w:rsidR="00000000" w:rsidRPr="00000000">
        <w:rPr>
          <w:rFonts w:ascii="Arial" w:cs="Arial" w:eastAsia="Arial" w:hAnsi="Arial"/>
          <w:color w:val="ff0000"/>
          <w:sz w:val="20"/>
          <w:szCs w:val="20"/>
          <w:rtl w:val="0"/>
        </w:rPr>
        <w:t xml:space="preserve">[SIM-43 días]</w:t>
      </w:r>
      <w:r w:rsidDel="00000000" w:rsidR="00000000" w:rsidRPr="00000000">
        <w:rPr>
          <w:rFonts w:ascii="Arial" w:cs="Arial" w:eastAsia="Arial" w:hAnsi="Arial"/>
          <w:color w:val="000000"/>
          <w:sz w:val="20"/>
          <w:szCs w:val="20"/>
          <w:rtl w:val="0"/>
        </w:rPr>
        <w:t xml:space="preserve">, el gobierno informó de que 53,829 familias (201,327 personas) están desplazadas en las dos provincias.</w:t>
      </w:r>
    </w:p>
    <w:p w:rsidR="00000000" w:rsidDel="00000000" w:rsidP="00000000" w:rsidRDefault="00000000" w:rsidRPr="00000000" w14:paraId="00000012">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 total de la población desplazada, 41,719 familias (159,709 personas) siguen en los EC y 12,110 familias (41,618 personas) están fuera de los CE, alojadas con parientes o amigos.</w:t>
      </w:r>
    </w:p>
    <w:p w:rsidR="00000000" w:rsidDel="00000000" w:rsidP="00000000" w:rsidRDefault="00000000" w:rsidRPr="00000000" w14:paraId="00000013">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casas dañadas son la principal razón del retraso en el regreso a casa de los desplazados internos. Un número significativo de desplazados internos ya ha regresado y está utilizando materiales recuperados para reparar sus casas. </w:t>
      </w:r>
    </w:p>
    <w:p w:rsidR="00000000" w:rsidDel="00000000" w:rsidP="00000000" w:rsidRDefault="00000000" w:rsidRPr="00000000" w14:paraId="00000014">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desplazados internos de los EC necesitan urgentemente kits para dormir, tiendas modulares, reparación y mantenimiento de la construcción de los CE, lámparas solares, generadores, servicios de telecomunicaciones y apoyo psicosocial y de salud mental. </w:t>
      </w:r>
    </w:p>
    <w:p w:rsidR="00000000" w:rsidDel="00000000" w:rsidP="00000000" w:rsidRDefault="00000000" w:rsidRPr="00000000" w14:paraId="00000015">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necesita espacio suficiente para el distanciamiento físico en los CE, de conformidad con las directrices COVID-19, así como un diseño y una distribución de los campamentos que sean seguros para las mujeres, los NNA y las personas con discapacidad. </w:t>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Respuesta</w:t>
      </w:r>
    </w:p>
    <w:p w:rsidR="00000000" w:rsidDel="00000000" w:rsidP="00000000" w:rsidRDefault="00000000" w:rsidRPr="00000000" w14:paraId="00000018">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Proporcionó asistencia técnica a las unidades de gobierno local de las provincias afectadas para la aplicación de las Directrices Operativas CCCM COVID-19. </w:t>
      </w:r>
    </w:p>
    <w:p w:rsidR="00000000" w:rsidDel="00000000" w:rsidP="00000000" w:rsidRDefault="00000000" w:rsidRPr="00000000" w14:paraId="00000019">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Hasta la fecha, se han distribuido 5,598 lonas de refugio. </w:t>
      </w:r>
    </w:p>
    <w:p w:rsidR="00000000" w:rsidDel="00000000" w:rsidP="00000000" w:rsidRDefault="00000000" w:rsidRPr="00000000" w14:paraId="0000001A">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han distribuido 300 kits de reparación de refugios </w:t>
      </w:r>
    </w:p>
    <w:p w:rsidR="00000000" w:rsidDel="00000000" w:rsidP="00000000" w:rsidRDefault="00000000" w:rsidRPr="00000000" w14:paraId="0000001B">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han distribuido PPE, incluidas mascarillas para adultos y NNA, alcohol y jabones de manos a las LGU para promover los protocolos de salud y seguridad. </w:t>
      </w:r>
    </w:p>
    <w:p w:rsidR="00000000" w:rsidDel="00000000" w:rsidP="00000000" w:rsidRDefault="00000000" w:rsidRPr="00000000" w14:paraId="0000001C">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distribuirán 1,210 lámparas solares y 250 tiendas modulares en las zonas afectadas, en coordinación con la Guardia Costera. </w:t>
      </w:r>
    </w:p>
    <w:p w:rsidR="00000000" w:rsidDel="00000000" w:rsidP="00000000" w:rsidRDefault="00000000" w:rsidRPr="00000000" w14:paraId="0000001D">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Matriz de Seguimiento de los Desplazamientos (DTM) se implantará en todas las EC para informar la programación y evaluar las necesidades y las perspectivas de retorno de los desplazados internos. </w:t>
      </w:r>
    </w:p>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Liderazgo. Brechas y Obstáculos: Brechas </w:t>
      </w:r>
    </w:p>
    <w:p w:rsidR="00000000" w:rsidDel="00000000" w:rsidP="00000000" w:rsidRDefault="00000000" w:rsidRPr="00000000" w14:paraId="00000020">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Falta de agua potable en las EC, lo que aumenta los casos de diarrea. </w:t>
      </w:r>
    </w:p>
    <w:p w:rsidR="00000000" w:rsidDel="00000000" w:rsidP="00000000" w:rsidRDefault="00000000" w:rsidRPr="00000000" w14:paraId="00000021">
      <w:pPr>
        <w:numPr>
          <w:ilvl w:val="0"/>
          <w:numId w:val="33"/>
        </w:numP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distanciamiento físico no se respeta estrictamente en algunas EC debido a la limitación de las zonas seguras y abiertas. - Aún no se han establecido puestos de control de prevención y control de infecciones.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585858"/>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Grupo de Refugios</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Necesidades </w:t>
      </w:r>
    </w:p>
    <w:p w:rsidR="00000000" w:rsidDel="00000000" w:rsidP="00000000" w:rsidRDefault="00000000" w:rsidRPr="00000000" w14:paraId="00000026">
      <w:pPr>
        <w:numPr>
          <w:ilvl w:val="0"/>
          <w:numId w:val="12"/>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fecha de </w:t>
      </w:r>
      <w:r w:rsidDel="00000000" w:rsidR="00000000" w:rsidRPr="00000000">
        <w:rPr>
          <w:rFonts w:ascii="Arial" w:cs="Arial" w:eastAsia="Arial" w:hAnsi="Arial"/>
          <w:color w:val="ff0000"/>
          <w:sz w:val="20"/>
          <w:szCs w:val="20"/>
          <w:rtl w:val="0"/>
        </w:rPr>
        <w:t xml:space="preserve">[SIM-42 días], el </w:t>
      </w:r>
      <w:r w:rsidDel="00000000" w:rsidR="00000000" w:rsidRPr="00000000">
        <w:rPr>
          <w:rFonts w:ascii="Arial" w:cs="Arial" w:eastAsia="Arial" w:hAnsi="Arial"/>
          <w:sz w:val="20"/>
          <w:szCs w:val="20"/>
          <w:rtl w:val="0"/>
        </w:rPr>
        <w:t xml:space="preserve">número de casas dañadas ha aumentado a 360,447; unas 154,476 están totalmente dañadas y 205,971 parcialmente dañadas. </w:t>
      </w:r>
    </w:p>
    <w:p w:rsidR="00000000" w:rsidDel="00000000" w:rsidP="00000000" w:rsidRDefault="00000000" w:rsidRPr="00000000" w14:paraId="00000027">
      <w:pPr>
        <w:numPr>
          <w:ilvl w:val="0"/>
          <w:numId w:val="12"/>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Muchas casas de hormigón perdieron sus tejados por los fuertes vientos, mientras que la mayoría de las casas de las zonas rurales construidas con materiales de entramado ligero están dañadas sin posibilidad de reparación. Es posible salvar algunos materiales, como los cocoteros caídos. Es necesario limpiar los escombros. </w:t>
      </w:r>
    </w:p>
    <w:p w:rsidR="00000000" w:rsidDel="00000000" w:rsidP="00000000" w:rsidRDefault="00000000" w:rsidRPr="00000000" w14:paraId="00000028">
      <w:pPr>
        <w:numPr>
          <w:ilvl w:val="0"/>
          <w:numId w:val="12"/>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familias necesitan enseres esenciales para dormir, cocinar y empezar a recuperarse. Varios corrimientos de tierra han destruido viviendas. Es necesario realojar a las familias en refugios provisionales y reponer los enseres domésticos esenciales. </w:t>
      </w:r>
    </w:p>
    <w:p w:rsidR="00000000" w:rsidDel="00000000" w:rsidP="00000000" w:rsidRDefault="00000000" w:rsidRPr="00000000" w14:paraId="00000029">
      <w:pPr>
        <w:numPr>
          <w:ilvl w:val="0"/>
          <w:numId w:val="12"/>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mayoría de los desplazados internos necesitan un paquete mínimo de material de construcción, acceso a mano de obra cualificada y fondos para reparar o levantar refugios provisionales que les permitan reconstruir sus hogares. </w:t>
      </w:r>
    </w:p>
    <w:p w:rsidR="00000000" w:rsidDel="00000000" w:rsidP="00000000" w:rsidRDefault="00000000" w:rsidRPr="00000000" w14:paraId="0000002A">
      <w:pPr>
        <w:numPr>
          <w:ilvl w:val="0"/>
          <w:numId w:val="12"/>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familias desplazadas necesitan un acceso inclusivo al apoyo en cuestiones relacionadas con la vivienda, la tierra y la propiedad (HLP) tras el desplazamiento o durante la reconstrucción. </w:t>
      </w:r>
    </w:p>
    <w:p w:rsidR="00000000" w:rsidDel="00000000" w:rsidP="00000000" w:rsidRDefault="00000000" w:rsidRPr="00000000" w14:paraId="0000002B">
      <w:pPr>
        <w:numPr>
          <w:ilvl w:val="0"/>
          <w:numId w:val="1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apoyo a las iniciativas de autorrecuperación, como los subsidios en metálico polivalentes, son cruciales para amplificar los esfuerzos de las personas afectadas y la supervivencia de los mercados en sus comunidades. </w:t>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Respuesta </w:t>
      </w:r>
    </w:p>
    <w:p w:rsidR="00000000" w:rsidDel="00000000" w:rsidP="00000000" w:rsidRDefault="00000000" w:rsidRPr="00000000" w14:paraId="0000002E">
      <w:pPr>
        <w:numPr>
          <w:ilvl w:val="0"/>
          <w:numId w:val="34"/>
        </w:numPr>
        <w:spacing w:after="27"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Hasta </w:t>
      </w:r>
      <w:r w:rsidDel="00000000" w:rsidR="00000000" w:rsidRPr="00000000">
        <w:rPr>
          <w:rFonts w:ascii="Arial" w:cs="Arial" w:eastAsia="Arial" w:hAnsi="Arial"/>
          <w:color w:val="ff0000"/>
          <w:sz w:val="20"/>
          <w:szCs w:val="20"/>
          <w:rtl w:val="0"/>
        </w:rPr>
        <w:t xml:space="preserve">[SIM-37 días]</w:t>
      </w:r>
      <w:r w:rsidDel="00000000" w:rsidR="00000000" w:rsidRPr="00000000">
        <w:rPr>
          <w:rFonts w:ascii="Arial" w:cs="Arial" w:eastAsia="Arial" w:hAnsi="Arial"/>
          <w:sz w:val="20"/>
          <w:szCs w:val="20"/>
          <w:rtl w:val="0"/>
        </w:rPr>
        <w:t xml:space="preserve">, los socios habían distribuido 3,701 kits de herramientas para refugios, 11,102 lonas y 468 otros materiales de construcción. </w:t>
      </w:r>
    </w:p>
    <w:p w:rsidR="00000000" w:rsidDel="00000000" w:rsidP="00000000" w:rsidRDefault="00000000" w:rsidRPr="00000000" w14:paraId="0000002F">
      <w:pPr>
        <w:numPr>
          <w:ilvl w:val="0"/>
          <w:numId w:val="34"/>
        </w:numPr>
        <w:spacing w:after="27"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Además de materiales de construcción, se ayudó a las familias con la distribución de 4,382 juegos de cocina, 6,197 kits de dormir y 100 artículos de iluminación. Está previsto distribuir otros 12,981 kits de dormir y 1,650 artículos de iluminación. </w:t>
      </w:r>
    </w:p>
    <w:p w:rsidR="00000000" w:rsidDel="00000000" w:rsidP="00000000" w:rsidRDefault="00000000" w:rsidRPr="00000000" w14:paraId="00000030">
      <w:pPr>
        <w:numPr>
          <w:ilvl w:val="0"/>
          <w:numId w:val="34"/>
        </w:numPr>
        <w:spacing w:after="27"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 están utilizando materiales de información, educación y comunicación "Reconstruir mejor o más seguro" en varios idiomas locales para ayudar a las familias a comprender técnicas de reparación y construcción más resistentes. </w:t>
      </w:r>
    </w:p>
    <w:p w:rsidR="00000000" w:rsidDel="00000000" w:rsidP="00000000" w:rsidRDefault="00000000" w:rsidRPr="00000000" w14:paraId="00000031">
      <w:pPr>
        <w:numPr>
          <w:ilvl w:val="0"/>
          <w:numId w:val="34"/>
        </w:numPr>
        <w:spacing w:after="27"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Los socios del Grupo de Refugio están colaborando con el Grupo de Trabajo de Efectivo y el gobierno en la estandarización de los paquetes de ayuda en efectivo para refugios de emergencia.</w:t>
      </w:r>
    </w:p>
    <w:p w:rsidR="00000000" w:rsidDel="00000000" w:rsidP="00000000" w:rsidRDefault="00000000" w:rsidRPr="00000000" w14:paraId="00000032">
      <w:pPr>
        <w:numPr>
          <w:ilvl w:val="0"/>
          <w:numId w:val="3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 distribuyó a las organizaciones una hoja informativa sobre vivienda, suelo y propiedad para ayudar a las familias afectadas con sus problemas de arrendamiento de terrenos. </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Brechas y Limitaciones: </w:t>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36">
      <w:pPr>
        <w:numPr>
          <w:ilvl w:val="0"/>
          <w:numId w:val="18"/>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Número significativo de personas desplazadas que no pueden regresar a sus lugares de origen y que, por tanto, necesitan ayuda de alojamiento para reconstruir sus hogares. </w:t>
      </w:r>
    </w:p>
    <w:p w:rsidR="00000000" w:rsidDel="00000000" w:rsidP="00000000" w:rsidRDefault="00000000" w:rsidRPr="00000000" w14:paraId="00000037">
      <w:pPr>
        <w:numPr>
          <w:ilvl w:val="0"/>
          <w:numId w:val="17"/>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mercados de materiales de construcción están mostrando la tensión del suministro de materiales para tejados y madera. Se esperan aumentos en los costes de los materiales, en parte vinculados a la interrupción de la cadena de suministro relacionada con la pandemia y ahora al aumento de las necesidades inmediatas. </w:t>
      </w:r>
    </w:p>
    <w:p w:rsidR="00000000" w:rsidDel="00000000" w:rsidP="00000000" w:rsidRDefault="00000000" w:rsidRPr="00000000" w14:paraId="00000038">
      <w:pPr>
        <w:numPr>
          <w:ilvl w:val="0"/>
          <w:numId w:val="1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decisión de los socios de dar prioridad a las provincias depende de la financiación. </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3B">
      <w:pPr>
        <w:numPr>
          <w:ilvl w:val="0"/>
          <w:numId w:val="24"/>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acceso a comunidades remotas y zonas con suelos saturados dificulta la entrega de suministros para refugios de emergencia (por ejemplo, materiales para tejados). Los costes de transporte a estas zonas han aumentado. </w:t>
      </w:r>
    </w:p>
    <w:p w:rsidR="00000000" w:rsidDel="00000000" w:rsidP="00000000" w:rsidRDefault="00000000" w:rsidRPr="00000000" w14:paraId="0000003C">
      <w:pPr>
        <w:numPr>
          <w:ilvl w:val="0"/>
          <w:numId w:val="2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falta de conexión a Internet en lugares remotos impide a los socios facilitar informes. Por lo tanto, se asume que los 4W están infradeclarados.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Seguridad Alimentaria y Agricultura </w:t>
      </w: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Necesidades </w:t>
      </w:r>
    </w:p>
    <w:p w:rsidR="00000000" w:rsidDel="00000000" w:rsidP="00000000" w:rsidRDefault="00000000" w:rsidRPr="00000000" w14:paraId="00000041">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sectores agrícola y pesquero se vieron gravemente afectados por el tifón. Las actividades pesqueras se vieron obstaculizadas al dañarse barcos, redes y otros equipos. </w:t>
      </w:r>
    </w:p>
    <w:p w:rsidR="00000000" w:rsidDel="00000000" w:rsidP="00000000" w:rsidRDefault="00000000" w:rsidRPr="00000000" w14:paraId="00000042">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conversión de los cocoteros dañados en madera para construir refugios temporales es uno de los medios de subsistencia propuestos para la población afectada, según el informe de la FAO. </w:t>
      </w:r>
    </w:p>
    <w:p w:rsidR="00000000" w:rsidDel="00000000" w:rsidP="00000000" w:rsidRDefault="00000000" w:rsidRPr="00000000" w14:paraId="00000043">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Necesidades alimentarias diarias insatisfechas de los desplazados internos y de quienes viven en zonas geográficamente aisladas y desfavorecidas (GIDA), incluidas las necesidades alimentarias y nutricionales específicas de las mujeres embarazadas y lactantes y de los niños menores de 5 años. </w:t>
      </w:r>
    </w:p>
    <w:p w:rsidR="00000000" w:rsidDel="00000000" w:rsidP="00000000" w:rsidRDefault="00000000" w:rsidRPr="00000000" w14:paraId="00000044">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Daños agrícolas registrados principalmente en cultivos como el arroz y el coco.</w:t>
      </w:r>
    </w:p>
    <w:p w:rsidR="00000000" w:rsidDel="00000000" w:rsidP="00000000" w:rsidRDefault="00000000" w:rsidRPr="00000000" w14:paraId="00000045">
      <w:pPr>
        <w:numPr>
          <w:ilvl w:val="0"/>
          <w:numId w:val="1"/>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Mientras los proveedores de servicios financieros operan gradualmente en medio de los problemas de las telecomunicaciones y la electricidad, los precios de los productos básicos se han duplicado. El transporte de mercancías sigue siendo un reto, al igual que las frecuentes malas condiciones meteorológicas, que retrasan el transporte a las islas. </w:t>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Respuesta </w:t>
      </w:r>
    </w:p>
    <w:p w:rsidR="00000000" w:rsidDel="00000000" w:rsidP="00000000" w:rsidRDefault="00000000" w:rsidRPr="00000000" w14:paraId="00000048">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Evaluaciones de pérdidas y daños en el sector agrícola, exploración/evaluación y cartografía de mercados, potencial de producción local de alimentos y evaluación rápida. </w:t>
      </w:r>
    </w:p>
    <w:p w:rsidR="00000000" w:rsidDel="00000000" w:rsidP="00000000" w:rsidRDefault="00000000" w:rsidRPr="00000000" w14:paraId="00000049">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Movilización de recursos para proporcionar transferencias monetarias condicionadas a 2,400 familias de agricultores y pescadores más vulnerables y a jóvenes y mujeres de hogares dependientes de la agricultura. </w:t>
      </w:r>
    </w:p>
    <w:p w:rsidR="00000000" w:rsidDel="00000000" w:rsidP="00000000" w:rsidRDefault="00000000" w:rsidRPr="00000000" w14:paraId="0000004A">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distribuyeron paquetes de ayuda alimentaria, artículos no alimentarios, filtros de agua, kits de refugio, luces y linternas solares, dinero en efectivo y ayuda para la subsistencia. </w:t>
      </w:r>
    </w:p>
    <w:p w:rsidR="00000000" w:rsidDel="00000000" w:rsidP="00000000" w:rsidRDefault="00000000" w:rsidRPr="00000000" w14:paraId="0000004B">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están realizando esfuerzos adicionales de movilización de recursos, incluido el aumento de la capacidad de los recursos humanos. </w:t>
      </w:r>
    </w:p>
    <w:p w:rsidR="00000000" w:rsidDel="00000000" w:rsidP="00000000" w:rsidRDefault="00000000" w:rsidRPr="00000000" w14:paraId="0000004C">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parámetro de selección se acordó con el Gobierno. </w:t>
      </w:r>
    </w:p>
    <w:p w:rsidR="00000000" w:rsidDel="00000000" w:rsidP="00000000" w:rsidRDefault="00000000" w:rsidRPr="00000000" w14:paraId="0000004D">
      <w:pPr>
        <w:numPr>
          <w:ilvl w:val="0"/>
          <w:numId w:val="4"/>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Está previsto proporcionar transferencias en efectivo, cupones y ayuda en especie (paquetes de alimentos). </w:t>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Brechas y Limitaciones: </w:t>
      </w:r>
    </w:p>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51">
      <w:pPr>
        <w:numPr>
          <w:ilvl w:val="0"/>
          <w:numId w:val="1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Las ayudas para la recuperación de las explotaciones son muy limitadas. </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54">
      <w:pPr>
        <w:numPr>
          <w:ilvl w:val="0"/>
          <w:numId w:val="1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 electricidad y las líneas de comunicación siguen sin funcionar en muchas zonas afectadas. Los suministros de alimentos y agua se agotan lentamente</w:t>
      </w:r>
    </w:p>
    <w:p w:rsidR="00000000" w:rsidDel="00000000" w:rsidP="00000000" w:rsidRDefault="00000000" w:rsidRPr="00000000" w14:paraId="00000055">
      <w:pPr>
        <w:numPr>
          <w:ilvl w:val="0"/>
          <w:numId w:val="1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Las frecuentes malas condiciones meteorológicas dificultan la llegada de ayuda a la isla. </w:t>
      </w:r>
    </w:p>
    <w:p w:rsidR="00000000" w:rsidDel="00000000" w:rsidP="00000000" w:rsidRDefault="00000000" w:rsidRPr="00000000" w14:paraId="00000056">
      <w:pPr>
        <w:rPr>
          <w:rFonts w:ascii="Arial" w:cs="Arial" w:eastAsia="Arial" w:hAnsi="Arial"/>
          <w:color w:val="252525"/>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Protección de la niñez y adolescencia y prevención de la violencia de género </w:t>
      </w:r>
      <w:r w:rsidDel="00000000" w:rsidR="00000000" w:rsidRPr="00000000">
        <w:rPr>
          <w:rtl w:val="0"/>
        </w:rPr>
      </w:r>
    </w:p>
    <w:p w:rsidR="00000000" w:rsidDel="00000000" w:rsidP="00000000" w:rsidRDefault="00000000" w:rsidRPr="00000000" w14:paraId="00000058">
      <w:pPr>
        <w:rPr>
          <w:rFonts w:ascii="Arial" w:cs="Arial" w:eastAsia="Arial" w:hAnsi="Arial"/>
          <w:b w:val="1"/>
          <w:color w:val="585858"/>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 </w:t>
      </w:r>
      <w:r w:rsidDel="00000000" w:rsidR="00000000" w:rsidRPr="00000000">
        <w:rPr>
          <w:rtl w:val="0"/>
        </w:rPr>
      </w:r>
    </w:p>
    <w:p w:rsidR="00000000" w:rsidDel="00000000" w:rsidP="00000000" w:rsidRDefault="00000000" w:rsidRPr="00000000" w14:paraId="0000005A">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servicios de protección son una necesidad urgente, incluido el apoyo del MHPSS. </w:t>
      </w:r>
    </w:p>
    <w:p w:rsidR="00000000" w:rsidDel="00000000" w:rsidP="00000000" w:rsidRDefault="00000000" w:rsidRPr="00000000" w14:paraId="0000005B">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algunos municipios de Dethreea se han observado tensiones entre los desplazados, las poblaciones afectadas y el gobierno local debido a la desigual distribución de la ayuda. Las instituciones de apoyo deben garantizar que la asistencia se basa en las necesidades sin discriminación, y que se hace todo lo posible para que las provisiones y donaciones alcancen al total de familias necesitadas. </w:t>
      </w:r>
    </w:p>
    <w:p w:rsidR="00000000" w:rsidDel="00000000" w:rsidP="00000000" w:rsidRDefault="00000000" w:rsidRPr="00000000" w14:paraId="0000005C">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Han surgido problemas relacionados con la vivienda, la tierra y la propiedad. En el municipio de Katini, en Dethreea, hay 39 familias que viven cerca del arroyo desde hace más de una década, y que corren el riesgo de ser desalojadas por la fuerza, ya que viven en terrenos públicos. Un reclamante de tierras les informó de que están escrituradas a su nombre, y no se les permite reconstruir sus casas en las zonas donde antes estaban. </w:t>
      </w:r>
    </w:p>
    <w:p w:rsidR="00000000" w:rsidDel="00000000" w:rsidP="00000000" w:rsidRDefault="00000000" w:rsidRPr="00000000" w14:paraId="0000005D">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requiere un monitoreo y verificación continuas de los NNA no acompañados y separados. </w:t>
      </w:r>
    </w:p>
    <w:p w:rsidR="00000000" w:rsidDel="00000000" w:rsidP="00000000" w:rsidRDefault="00000000" w:rsidRPr="00000000" w14:paraId="0000005E">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mujeres, las adolescentes y otros grupos marginados se enfrentan a un mayor riesgo de violencia basada en género (GBV), con movilidad limitada y condiciones de vida inseguras debido a los cortes e interrupciones del suministro eléctrico y las telecomunicaciones. </w:t>
      </w:r>
    </w:p>
    <w:p w:rsidR="00000000" w:rsidDel="00000000" w:rsidP="00000000" w:rsidRDefault="00000000" w:rsidRPr="00000000" w14:paraId="0000005F">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ha visto a los IDP y familiares afectados (muchos de ellos NNA) mendigando en las calles, incluso en la carretera nacional Esto les expone al riesgo de accidentes de tráfico, violencia de género y trata de seres humanos. Varios municipios han emitido un aviso sobre la prohibición de mendigar. </w:t>
      </w:r>
    </w:p>
    <w:p w:rsidR="00000000" w:rsidDel="00000000" w:rsidP="00000000" w:rsidRDefault="00000000" w:rsidRPr="00000000" w14:paraId="00000060">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 necesario crear espacios adaptados a las mujeres y organizar a las mujeres y los jóvenes IDP para que se ocupen de mitigar los riesgos. </w:t>
      </w:r>
    </w:p>
    <w:p w:rsidR="00000000" w:rsidDel="00000000" w:rsidP="00000000" w:rsidRDefault="00000000" w:rsidRPr="00000000" w14:paraId="00000061">
      <w:pPr>
        <w:numPr>
          <w:ilvl w:val="0"/>
          <w:numId w:val="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 necesario actualizar y difundir entre las comunidades afectadas la vía de notificación y derivación para la protección de la niñez y adolescencia y GBV, con el fin de garantizar el acceso a información que puede salvar vidas y prevenir los riesgos para la Protección de la niñez y adolescencia y la GBV. </w:t>
      </w:r>
    </w:p>
    <w:p w:rsidR="00000000" w:rsidDel="00000000" w:rsidP="00000000" w:rsidRDefault="00000000" w:rsidRPr="00000000" w14:paraId="00000062">
      <w:pPr>
        <w:spacing w:after="2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2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Sólo nueve de los 90 municipios han confirmado disponer de una Oficina de Protección de la Mujer y el NNA (WCPD). </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66">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w:t>
      </w:r>
      <w:r w:rsidDel="00000000" w:rsidR="00000000" w:rsidRPr="00000000">
        <w:rPr>
          <w:rFonts w:ascii="Arial" w:cs="Arial" w:eastAsia="Arial" w:hAnsi="Arial"/>
          <w:color w:val="ff0000"/>
          <w:sz w:val="20"/>
          <w:szCs w:val="20"/>
          <w:rtl w:val="0"/>
        </w:rPr>
        <w:t xml:space="preserve">[SIM-39-38 días] se </w:t>
      </w:r>
      <w:r w:rsidDel="00000000" w:rsidR="00000000" w:rsidRPr="00000000">
        <w:rPr>
          <w:rFonts w:ascii="Arial" w:cs="Arial" w:eastAsia="Arial" w:hAnsi="Arial"/>
          <w:sz w:val="20"/>
          <w:szCs w:val="20"/>
          <w:rtl w:val="0"/>
        </w:rPr>
        <w:t xml:space="preserve">llevó a cabo una supervisión conjunta de la protección con la Comisión de Derechos Humanos (CHR) en la provincia de Detua. Se desplegó otro equipo para llevar a cabo la supervisión de la protección y proporcionar apoyo psicosocial a los funcionarios del gobierno.</w:t>
      </w:r>
    </w:p>
    <w:p w:rsidR="00000000" w:rsidDel="00000000" w:rsidP="00000000" w:rsidRDefault="00000000" w:rsidRPr="00000000" w14:paraId="00000067">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través de su labor de promoción e integración de la abogacía, el Gobierno publicará próximamente avisos para abordar la mendicidad y la mitigación, prevención y respuesta ante el riesgo de GBV. </w:t>
      </w:r>
    </w:p>
    <w:p w:rsidR="00000000" w:rsidDel="00000000" w:rsidP="00000000" w:rsidRDefault="00000000" w:rsidRPr="00000000" w14:paraId="00000068">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ha reactivado la Línea de Ayuda a la Niñez y Adolescencia. </w:t>
      </w:r>
    </w:p>
    <w:p w:rsidR="00000000" w:rsidDel="00000000" w:rsidP="00000000" w:rsidRDefault="00000000" w:rsidRPr="00000000" w14:paraId="00000069">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han distribuido 1,000 Kits de Dignidad para mujeres. Se ha proporcionado una tienda para un espacio acogedor para las mujeres con 400 paquetes de maternidad y 540 lámparas solares. </w:t>
      </w:r>
    </w:p>
    <w:p w:rsidR="00000000" w:rsidDel="00000000" w:rsidP="00000000" w:rsidRDefault="00000000" w:rsidRPr="00000000" w14:paraId="0000006A">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FNUAP proporcionará instalaciones y equipos prefabricados a las oficinas gubernamentales, incluidos kits de dignidad, lámparas solares y radios, utilizando financiación del Fondo Central para la Acción en Casos de Emergencia. </w:t>
      </w:r>
    </w:p>
    <w:p w:rsidR="00000000" w:rsidDel="00000000" w:rsidP="00000000" w:rsidRDefault="00000000" w:rsidRPr="00000000" w14:paraId="0000006B">
      <w:pPr>
        <w:numPr>
          <w:ilvl w:val="0"/>
          <w:numId w:val="7"/>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Activación a nivel regional del subgrupo de PN y GBV</w:t>
      </w:r>
    </w:p>
    <w:p w:rsidR="00000000" w:rsidDel="00000000" w:rsidP="00000000" w:rsidRDefault="00000000" w:rsidRPr="00000000" w14:paraId="0000006C">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Los trabajadores sociales y los gestores de los campamentos han recibido formación sobre la violencia de género.</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70">
      <w:pPr>
        <w:numPr>
          <w:ilvl w:val="0"/>
          <w:numId w:val="1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Apoyo mínimo en los pueblos del sur de la región de Dethreea</w:t>
      </w:r>
    </w:p>
    <w:p w:rsidR="00000000" w:rsidDel="00000000" w:rsidP="00000000" w:rsidRDefault="00000000" w:rsidRPr="00000000" w14:paraId="00000071">
      <w:pPr>
        <w:numPr>
          <w:ilvl w:val="0"/>
          <w:numId w:val="1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información y los datos procedentes del terreno siguen siendo limitados y las evaluaciones sobre el terreno aún están en curso. </w:t>
      </w:r>
    </w:p>
    <w:p w:rsidR="00000000" w:rsidDel="00000000" w:rsidP="00000000" w:rsidRDefault="00000000" w:rsidRPr="00000000" w14:paraId="00000072">
      <w:pPr>
        <w:numPr>
          <w:ilvl w:val="0"/>
          <w:numId w:val="1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Aún no se ha actualizado la cartografía de los servicios básicos disponibles de protección de la niñez y adolescencia y GBV. </w:t>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75">
      <w:pPr>
        <w:numPr>
          <w:ilvl w:val="0"/>
          <w:numId w:val="30"/>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acceso a las aldeas del sur de Dethreea puede ser difícil a veces debido a las fuertes lluvias y las malas condiciones meteorológicas, lo que dificulta la entrega de ayuda y la prestación de servicios. </w:t>
      </w:r>
    </w:p>
    <w:p w:rsidR="00000000" w:rsidDel="00000000" w:rsidP="00000000" w:rsidRDefault="00000000" w:rsidRPr="00000000" w14:paraId="00000076">
      <w:pPr>
        <w:numPr>
          <w:ilvl w:val="0"/>
          <w:numId w:val="30"/>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pesar de la congelación de precios exigida por la declaración del estado de calamidad, los precios de los productos básicos han aumentado entre un 30% y un 40%. </w:t>
      </w:r>
    </w:p>
    <w:p w:rsidR="00000000" w:rsidDel="00000000" w:rsidP="00000000" w:rsidRDefault="00000000" w:rsidRPr="00000000" w14:paraId="00000077">
      <w:pPr>
        <w:numPr>
          <w:ilvl w:val="0"/>
          <w:numId w:val="30"/>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Acceso a las zonas afectadas por el tifón debido a la inaccesibilidad de las carreteras. </w:t>
      </w:r>
    </w:p>
    <w:p w:rsidR="00000000" w:rsidDel="00000000" w:rsidP="00000000" w:rsidRDefault="00000000" w:rsidRPr="00000000" w14:paraId="00000078">
      <w:pPr>
        <w:numPr>
          <w:ilvl w:val="0"/>
          <w:numId w:val="30"/>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Almacenamiento y transporte de tiendas y kits de CFS. </w:t>
      </w:r>
    </w:p>
    <w:p w:rsidR="00000000" w:rsidDel="00000000" w:rsidP="00000000" w:rsidRDefault="00000000" w:rsidRPr="00000000" w14:paraId="00000079">
      <w:pPr>
        <w:numPr>
          <w:ilvl w:val="0"/>
          <w:numId w:val="30"/>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refugios temporales para jóvenes y NNA supervivientes de la violencia en ambas provincias están ocupados por el ejército abariano que apoya las labores de socorro. Como consecuencia, no hay espacios seguros disponibles para los supervivientes. </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p w:rsidR="00000000" w:rsidDel="00000000" w:rsidP="00000000" w:rsidRDefault="00000000" w:rsidRPr="00000000" w14:paraId="0000007B">
      <w:pPr>
        <w:pageBreakBefore w:val="1"/>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color w:val="418fde"/>
          <w:sz w:val="48"/>
          <w:szCs w:val="48"/>
        </w:rPr>
      </w:pPr>
      <w:r w:rsidDel="00000000" w:rsidR="00000000" w:rsidRPr="00000000">
        <w:rPr>
          <w:rFonts w:ascii="Arial" w:cs="Arial" w:eastAsia="Arial" w:hAnsi="Arial"/>
          <w:b w:val="1"/>
          <w:color w:val="418fde"/>
          <w:sz w:val="23"/>
          <w:szCs w:val="23"/>
          <w:rtl w:val="0"/>
        </w:rPr>
        <w:t xml:space="preserve">Educación </w:t>
      </w:r>
      <w:r w:rsidDel="00000000" w:rsidR="00000000" w:rsidRPr="00000000">
        <w:rPr>
          <w:rtl w:val="0"/>
        </w:rPr>
      </w:r>
    </w:p>
    <w:p w:rsidR="00000000" w:rsidDel="00000000" w:rsidP="00000000" w:rsidRDefault="00000000" w:rsidRPr="00000000" w14:paraId="0000007D">
      <w:pPr>
        <w:rPr>
          <w:rFonts w:ascii="Arial" w:cs="Arial" w:eastAsia="Arial" w:hAnsi="Arial"/>
          <w:color w:val="404040"/>
          <w:sz w:val="18"/>
          <w:szCs w:val="18"/>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Necesidades</w:t>
      </w:r>
    </w:p>
    <w:p w:rsidR="00000000" w:rsidDel="00000000" w:rsidP="00000000" w:rsidRDefault="00000000" w:rsidRPr="00000000" w14:paraId="0000007F">
      <w:pPr>
        <w:spacing w:after="27" w:lineRule="auto"/>
        <w:rPr>
          <w:rFonts w:ascii="Arial" w:cs="Arial" w:eastAsia="Arial" w:hAnsi="Arial"/>
        </w:rPr>
      </w:pPr>
      <w:r w:rsidDel="00000000" w:rsidR="00000000" w:rsidRPr="00000000">
        <w:rPr>
          <w:rtl w:val="0"/>
        </w:rPr>
      </w:r>
    </w:p>
    <w:p w:rsidR="00000000" w:rsidDel="00000000" w:rsidP="00000000" w:rsidRDefault="00000000" w:rsidRPr="00000000" w14:paraId="00000080">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total de 75,451 alumnos de 349 escuelas están afectados en la provincia de Deuta. Actualmente, el grupo está recopilando datos para Dethreea. </w:t>
      </w:r>
    </w:p>
    <w:p w:rsidR="00000000" w:rsidDel="00000000" w:rsidP="00000000" w:rsidRDefault="00000000" w:rsidRPr="00000000" w14:paraId="00000081">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todo el país, los informes muestran que hay 1,085 escuelas dañadas, con 2,242 aulas totalmente dañadas. Unas 1,235 aulas siguen siendo utilizadas como centros de evacuación. </w:t>
      </w:r>
    </w:p>
    <w:p w:rsidR="00000000" w:rsidDel="00000000" w:rsidP="00000000" w:rsidRDefault="00000000" w:rsidRPr="00000000" w14:paraId="00000082">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todo el país, más de 9.9 millones de materiales didácticos han resultado dañados. </w:t>
      </w:r>
    </w:p>
    <w:p w:rsidR="00000000" w:rsidDel="00000000" w:rsidP="00000000" w:rsidRDefault="00000000" w:rsidRPr="00000000" w14:paraId="00000083">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necesita material didáctico y kits para que los NNA sigan aprendiendo tanto en casa como en la escuela. </w:t>
      </w:r>
    </w:p>
    <w:p w:rsidR="00000000" w:rsidDel="00000000" w:rsidP="00000000" w:rsidRDefault="00000000" w:rsidRPr="00000000" w14:paraId="00000084">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necesitan espacios de aprendizaje temporales para las escuelas que están poniendo a prueba las clases presenciales. </w:t>
      </w:r>
    </w:p>
    <w:p w:rsidR="00000000" w:rsidDel="00000000" w:rsidP="00000000" w:rsidRDefault="00000000" w:rsidRPr="00000000" w14:paraId="00000085">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 necesario proporcionar apoyo psicosocial y de salud mental a los estudiantes. </w:t>
      </w:r>
    </w:p>
    <w:p w:rsidR="00000000" w:rsidDel="00000000" w:rsidP="00000000" w:rsidRDefault="00000000" w:rsidRPr="00000000" w14:paraId="00000086">
      <w:pPr>
        <w:numPr>
          <w:ilvl w:val="0"/>
          <w:numId w:val="3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necesitan diseños finales sobre espacios de aprendizaje temporales que cumplan las normas de ventilación COVID-19. </w:t>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89">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Oficina Central del Departamento de Educación ha proporcionado fondos a las regiones afectadas para apoyar la limpieza y las reparaciones menores, la adquisición de kits para estudiantes y profesores, la alimentación escolar de emergencia y los primeros auxilios psicológicos. </w:t>
      </w:r>
    </w:p>
    <w:p w:rsidR="00000000" w:rsidDel="00000000" w:rsidP="00000000" w:rsidRDefault="00000000" w:rsidRPr="00000000" w14:paraId="0000008A">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Entrega de tiendas de campaña de 72 m</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como espacios temporales de aprendizaje: 4 a la Oficina de la División de Escuelas de Detua y una a la Oficina de la División de Escuelas de Dethreea.  </w:t>
      </w:r>
    </w:p>
    <w:p w:rsidR="00000000" w:rsidDel="00000000" w:rsidP="00000000" w:rsidRDefault="00000000" w:rsidRPr="00000000" w14:paraId="0000008B">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También se entregarán unos 1,488 kits para estudiantes y 104 kits para profesores con el fin de apoyar la continuidad del aprendizaje.</w:t>
      </w:r>
    </w:p>
    <w:p w:rsidR="00000000" w:rsidDel="00000000" w:rsidP="00000000" w:rsidRDefault="00000000" w:rsidRPr="00000000" w14:paraId="0000008C">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han adquirido kits de higiene, kits para estudiantes, kits para profesores, kits de juegos, agua potable, primeros auxilios psicológicos, servicios médicos, suministros para la prevención de infecciones y otras formas de ayuda. La distribución está prevista para dentro de 3 o 4 semanas. </w:t>
      </w:r>
    </w:p>
    <w:p w:rsidR="00000000" w:rsidDel="00000000" w:rsidP="00000000" w:rsidRDefault="00000000" w:rsidRPr="00000000" w14:paraId="0000008D">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oficinas sobre el terreno del Departamento de Educación realizaron un seguimiento sobre el terreno de las escuelas afectadas, llevaron a cabo una evaluación rápida de los daños sufridos por las escuelas, realizaron consultas médicas físicas y en línea y organizaron sesiones de primeros auxilios psicológicos en ambas provincias. </w:t>
      </w:r>
    </w:p>
    <w:p w:rsidR="00000000" w:rsidDel="00000000" w:rsidP="00000000" w:rsidRDefault="00000000" w:rsidRPr="00000000" w14:paraId="0000008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91">
      <w:pPr>
        <w:numPr>
          <w:ilvl w:val="0"/>
          <w:numId w:val="8"/>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Brechas en la recopilación de información específica sobre educación debido a la interrupción de las líneas de comunicación. </w:t>
      </w:r>
    </w:p>
    <w:p w:rsidR="00000000" w:rsidDel="00000000" w:rsidP="00000000" w:rsidRDefault="00000000" w:rsidRPr="00000000" w14:paraId="00000092">
      <w:pPr>
        <w:numPr>
          <w:ilvl w:val="0"/>
          <w:numId w:val="8"/>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Necesidad de MHPSS, por lo que se están añadiendo voluntarios a la reserva de personal escolar/profesores formados. </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95">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recogida de datos se ha visto afectada porque los informadores clave aún se están recuperando de la emergencia. </w:t>
      </w:r>
    </w:p>
    <w:p w:rsidR="00000000" w:rsidDel="00000000" w:rsidP="00000000" w:rsidRDefault="00000000" w:rsidRPr="00000000" w14:paraId="00000096">
      <w:pPr>
        <w:numPr>
          <w:ilvl w:val="0"/>
          <w:numId w:val="5"/>
        </w:numPr>
        <w:spacing w:after="2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escuelas y aulas dañadas, así como las utilizadas como centros de evacuación, no están disponibles para el aprendizaje escolar. </w:t>
      </w:r>
    </w:p>
    <w:p w:rsidR="00000000" w:rsidDel="00000000" w:rsidP="00000000" w:rsidRDefault="00000000" w:rsidRPr="00000000" w14:paraId="0000009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Salud </w:t>
      </w: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w:t>
      </w:r>
      <w:r w:rsidDel="00000000" w:rsidR="00000000" w:rsidRPr="00000000">
        <w:rPr>
          <w:rtl w:val="0"/>
        </w:rPr>
      </w:r>
    </w:p>
    <w:p w:rsidR="00000000" w:rsidDel="00000000" w:rsidP="00000000" w:rsidRDefault="00000000" w:rsidRPr="00000000" w14:paraId="000000A1">
      <w:pPr>
        <w:numPr>
          <w:ilvl w:val="0"/>
          <w:numId w:val="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ambas provincias, los centros de salud funcionan con capacidad limitada. Algunas de sus instalaciones COVID resultaron totalmente dañadas, mientras que varias Unidades de Salud Rural (RHU) y clínicas de partos también sufrieron daños, incluidos los registros/datos de seguimiento de embarazos. </w:t>
      </w:r>
    </w:p>
    <w:p w:rsidR="00000000" w:rsidDel="00000000" w:rsidP="00000000" w:rsidRDefault="00000000" w:rsidRPr="00000000" w14:paraId="000000A2">
      <w:pPr>
        <w:numPr>
          <w:ilvl w:val="0"/>
          <w:numId w:val="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Hospital de Especialidades Materno-Infantiles de Detua resultó dañado y no funciona. Mientras tanto, el hospital de campaña puede atender partos por cesárea. </w:t>
      </w:r>
    </w:p>
    <w:p w:rsidR="00000000" w:rsidDel="00000000" w:rsidP="00000000" w:rsidRDefault="00000000" w:rsidRPr="00000000" w14:paraId="000000A3">
      <w:pPr>
        <w:numPr>
          <w:ilvl w:val="0"/>
          <w:numId w:val="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Varias instalaciones de cuidados obstétricos y neonatales básicos de emergencia sufrieron daños. </w:t>
      </w:r>
    </w:p>
    <w:p w:rsidR="00000000" w:rsidDel="00000000" w:rsidP="00000000" w:rsidRDefault="00000000" w:rsidRPr="00000000" w14:paraId="000000A4">
      <w:pPr>
        <w:numPr>
          <w:ilvl w:val="0"/>
          <w:numId w:val="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Necesidad de suministros de vacunas antitetánicas para tratar a quienes sufrieron heridas durante el tifón. </w:t>
      </w:r>
    </w:p>
    <w:p w:rsidR="00000000" w:rsidDel="00000000" w:rsidP="00000000" w:rsidRDefault="00000000" w:rsidRPr="00000000" w14:paraId="000000A5">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A7">
      <w:pPr>
        <w:numPr>
          <w:ilvl w:val="0"/>
          <w:numId w:val="14"/>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Envío de 200 tiendas modulares para apoyar las medidas de distanciamiento físico para el COVID-19 IPC, además de siete tiendas de 72 m</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y dieciocho tiendas de 42 m</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que se utilizarán como hospitales de distrito temporales y unidades de salud rural en ambas provincias. </w:t>
      </w:r>
    </w:p>
    <w:p w:rsidR="00000000" w:rsidDel="00000000" w:rsidP="00000000" w:rsidRDefault="00000000" w:rsidRPr="00000000" w14:paraId="000000A8">
      <w:pPr>
        <w:numPr>
          <w:ilvl w:val="0"/>
          <w:numId w:val="14"/>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Desplegó en las provincias los siguientes suministros de salud sexual y reproductiva que salvan vidas: </w:t>
      </w:r>
    </w:p>
    <w:p w:rsidR="00000000" w:rsidDel="00000000" w:rsidP="00000000" w:rsidRDefault="00000000" w:rsidRPr="00000000" w14:paraId="000000A9">
      <w:pPr>
        <w:numPr>
          <w:ilvl w:val="1"/>
          <w:numId w:val="14"/>
        </w:numPr>
        <w:spacing w:after="27"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Detua: (1) Carpa de Maternidad de Emergencia junto con un (1) Kit de Salud Reproductiva 6A, tres (3) Kit de Salud Reproductiva 2A, y tres (3) Kit de Salud Reproductiva 2B; 1,000 kits de dignidad; 400 paquetes de maternidad; 540 radios solares; y un (1) conjunto de carpas y kits para espacios amigables para las mujeres. </w:t>
      </w:r>
    </w:p>
    <w:p w:rsidR="00000000" w:rsidDel="00000000" w:rsidP="00000000" w:rsidRDefault="00000000" w:rsidRPr="00000000" w14:paraId="000000AA">
      <w:pPr>
        <w:numPr>
          <w:ilvl w:val="1"/>
          <w:numId w:val="14"/>
        </w:numP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Dethreea: (1) Carpa de Maternidad de Emergencia junto con un (1) Kit de Salud Reproductiva 6A, tres (3) Kit de Salud Reproductiva 2A, y tres (3) Kit de Salud Reproductiva 2B; 1,000 kits de dignidad; y 400 paquetes de maternidad. </w:t>
      </w:r>
    </w:p>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AF">
      <w:pPr>
        <w:numPr>
          <w:ilvl w:val="0"/>
          <w:numId w:val="20"/>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Interrupciones en el suministro eléctrico y de agua. </w:t>
      </w:r>
    </w:p>
    <w:p w:rsidR="00000000" w:rsidDel="00000000" w:rsidP="00000000" w:rsidRDefault="00000000" w:rsidRPr="00000000" w14:paraId="000000B0">
      <w:pPr>
        <w:numPr>
          <w:ilvl w:val="0"/>
          <w:numId w:val="20"/>
        </w:numPr>
        <w:spacing w:after="2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Recursos humanos limitados para la prestación de asistencia sanitaria esencial y la gestión de enfermedades. </w:t>
      </w:r>
    </w:p>
    <w:p w:rsidR="00000000" w:rsidDel="00000000" w:rsidP="00000000" w:rsidRDefault="00000000" w:rsidRPr="00000000" w14:paraId="000000B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Agua, Saneamiento e Higiene (WASH) </w:t>
      </w:r>
      <w:r w:rsidDel="00000000" w:rsidR="00000000" w:rsidRPr="00000000">
        <w:rPr>
          <w:rtl w:val="0"/>
        </w:rPr>
      </w:r>
    </w:p>
    <w:p w:rsidR="00000000" w:rsidDel="00000000" w:rsidP="00000000" w:rsidRDefault="00000000" w:rsidRPr="00000000" w14:paraId="000000B3">
      <w:pPr>
        <w:rPr>
          <w:rFonts w:ascii="Arial" w:cs="Arial" w:eastAsia="Arial" w:hAnsi="Arial"/>
          <w:b w:val="1"/>
          <w:color w:val="585858"/>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 </w:t>
      </w:r>
      <w:r w:rsidDel="00000000" w:rsidR="00000000" w:rsidRPr="00000000">
        <w:rPr>
          <w:rtl w:val="0"/>
        </w:rPr>
      </w:r>
    </w:p>
    <w:p w:rsidR="00000000" w:rsidDel="00000000" w:rsidP="00000000" w:rsidRDefault="00000000" w:rsidRPr="00000000" w14:paraId="000000B5">
      <w:pPr>
        <w:numPr>
          <w:ilvl w:val="0"/>
          <w:numId w:val="2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pruebas de calidad del agua realizadas por los inspectores sanitarios locales mostraron que un número significativo de fuentes de agua de Nivel I y II de las provincias afectadas dan positivo en E. coli, un microorganismo fecal muy peligroso. </w:t>
      </w:r>
    </w:p>
    <w:p w:rsidR="00000000" w:rsidDel="00000000" w:rsidP="00000000" w:rsidRDefault="00000000" w:rsidRPr="00000000" w14:paraId="000000B6">
      <w:pPr>
        <w:numPr>
          <w:ilvl w:val="0"/>
          <w:numId w:val="2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Necesidad de una evaluación más exhaustiva de las necesidades de infraestructuras de saneamiento y agua en los hogares. </w:t>
      </w:r>
    </w:p>
    <w:p w:rsidR="00000000" w:rsidDel="00000000" w:rsidP="00000000" w:rsidRDefault="00000000" w:rsidRPr="00000000" w14:paraId="000000B7">
      <w:pPr>
        <w:numPr>
          <w:ilvl w:val="0"/>
          <w:numId w:val="2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Informes persistentes de casos de diarrea en las comunidades afectadas atribuidos a alimentos y agua contaminados. </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BA">
      <w:pPr>
        <w:numPr>
          <w:ilvl w:val="0"/>
          <w:numId w:val="2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Dos Grupos WASH subnacionales activados y dirigidos por el Departamento de Salud en ambas provincias.</w:t>
      </w:r>
    </w:p>
    <w:p w:rsidR="00000000" w:rsidDel="00000000" w:rsidP="00000000" w:rsidRDefault="00000000" w:rsidRPr="00000000" w14:paraId="000000BB">
      <w:pPr>
        <w:numPr>
          <w:ilvl w:val="0"/>
          <w:numId w:val="2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Distribuidos hasta la fecha: 8.702 kits de higiene familiar, 6,712 kits de agua (contenedor de agua con desinfectante), transporte de agua en camiones cisterna para 27 localidades y agua potable para 56,500 personas mediante la instalación de cisternas de agua, la reparación de fuentes de agua dañadas y el transporte de agua en camiones cisterna. </w:t>
      </w:r>
    </w:p>
    <w:p w:rsidR="00000000" w:rsidDel="00000000" w:rsidP="00000000" w:rsidRDefault="00000000" w:rsidRPr="00000000" w14:paraId="000000BC">
      <w:pPr>
        <w:numPr>
          <w:ilvl w:val="0"/>
          <w:numId w:val="2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Desfangado en el sitio de los lugares de evacuación existentes</w:t>
      </w:r>
    </w:p>
    <w:p w:rsidR="00000000" w:rsidDel="00000000" w:rsidP="00000000" w:rsidRDefault="00000000" w:rsidRPr="00000000" w14:paraId="000000BD">
      <w:pPr>
        <w:numPr>
          <w:ilvl w:val="0"/>
          <w:numId w:val="2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los socios del Grupo WASH están recaudando más recursos para adquirir y entregar los suministros de agua y saneamiento que tanto se necesitan para contener el aumento de los casos de enfermedades relacionadas con el agua, el saneamiento y la higiene. </w:t>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numPr>
          <w:ilvl w:val="0"/>
          <w:numId w:val="2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Actualmente, sólo unos pocos socios del Grupo WASH han iniciado actividades de saneamiento. Es necesario debatir más a fondo la provisión de apoyo a los refugios junto con la reparación o construcción de instalaciones sanitarias domésticas, especialmente en las comunidades costeras, donde los residentes siguen teniendo prohibido regresar a sus hogares. </w:t>
      </w:r>
    </w:p>
    <w:p w:rsidR="00000000" w:rsidDel="00000000" w:rsidP="00000000" w:rsidRDefault="00000000" w:rsidRPr="00000000" w14:paraId="000000C3">
      <w:pPr>
        <w:numPr>
          <w:ilvl w:val="0"/>
          <w:numId w:val="23"/>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Aún deben completarse y analizarse las evaluaciones rápidas sobre el alcance de los daños y las necesidades emergentes en otros sectores WASH, como el saneamiento, la promoción de la salud y la higiene, la gestión de residuos y el control de vectores, especialmente en los municipios insulares y las zonas geográficamente aisladas y desfavorecidas. Por el momento, la atención se ha centrado sobre todo en el agua. </w:t>
      </w:r>
    </w:p>
    <w:p w:rsidR="00000000" w:rsidDel="00000000" w:rsidP="00000000" w:rsidRDefault="00000000" w:rsidRPr="00000000" w14:paraId="000000C4">
      <w:pPr>
        <w:spacing w:after="2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pacing w:after="27"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C6">
      <w:pPr>
        <w:numPr>
          <w:ilvl w:val="0"/>
          <w:numId w:val="2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Importantes desafíos logísticos en el transporte de suministros WASH críticos como kits de agua, higiene y dignidad en los municipios insulares. </w:t>
      </w:r>
    </w:p>
    <w:p w:rsidR="00000000" w:rsidDel="00000000" w:rsidP="00000000" w:rsidRDefault="00000000" w:rsidRPr="00000000" w14:paraId="000000C7">
      <w:pPr>
        <w:numPr>
          <w:ilvl w:val="0"/>
          <w:numId w:val="22"/>
        </w:numPr>
        <w:spacing w:after="28"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Aumento de las infecciones por COVID-19 entre el personal de respuesta humanitaria. </w:t>
      </w:r>
    </w:p>
    <w:p w:rsidR="00000000" w:rsidDel="00000000" w:rsidP="00000000" w:rsidRDefault="00000000" w:rsidRPr="00000000" w14:paraId="000000C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9">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Nutrición </w:t>
      </w: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w:t>
      </w:r>
      <w:r w:rsidDel="00000000" w:rsidR="00000000" w:rsidRPr="00000000">
        <w:rPr>
          <w:rtl w:val="0"/>
        </w:rPr>
      </w:r>
    </w:p>
    <w:p w:rsidR="00000000" w:rsidDel="00000000" w:rsidP="00000000" w:rsidRDefault="00000000" w:rsidRPr="00000000" w14:paraId="000000CB">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Distribuir productos nutricionales vitales: alimentos terapéuticos listos para el consumo (RUTF), micronutrientes en polvo (MNPs), suplementos de vitamina A y de hierro y ácido fólico (IFA). </w:t>
      </w:r>
    </w:p>
    <w:p w:rsidR="00000000" w:rsidDel="00000000" w:rsidP="00000000" w:rsidRDefault="00000000" w:rsidRPr="00000000" w14:paraId="000000CC">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Realizar evaluaciones nutricionales semanales/mensuales de NNA y mujeres para identificar y tratar la desnutrición aguda. </w:t>
      </w:r>
    </w:p>
    <w:p w:rsidR="00000000" w:rsidDel="00000000" w:rsidP="00000000" w:rsidRDefault="00000000" w:rsidRPr="00000000" w14:paraId="000000CD">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inseguridad alimentaria y el aumento de los casos de diarrea, gastroenteritis aguda e infecciones de las vías respiratorias superiores predispondrán a los nna a la desnutrición. </w:t>
      </w:r>
    </w:p>
    <w:p w:rsidR="00000000" w:rsidDel="00000000" w:rsidP="00000000" w:rsidRDefault="00000000" w:rsidRPr="00000000" w14:paraId="000000CE">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Acceso a la leche terapéutica F-75 y a la solución de rehidratación para la desnutrición (ReSoMal) para tratar a los NNA con desnutrición aguda grave complicada. </w:t>
      </w:r>
    </w:p>
    <w:p w:rsidR="00000000" w:rsidDel="00000000" w:rsidP="00000000" w:rsidRDefault="00000000" w:rsidRPr="00000000" w14:paraId="000000CF">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Promover y apoyar a las madres lactantes, supervisando la donación de sucedáneos de la leche materna. </w:t>
      </w:r>
    </w:p>
    <w:p w:rsidR="00000000" w:rsidDel="00000000" w:rsidP="00000000" w:rsidRDefault="00000000" w:rsidRPr="00000000" w14:paraId="000000D0">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Recursos humanos adicionales para llevar a cabo intervenciones críticas en materia de nutrición y salud tanto a nivel comunitario como de las EC. </w:t>
      </w:r>
    </w:p>
    <w:p w:rsidR="00000000" w:rsidDel="00000000" w:rsidP="00000000" w:rsidRDefault="00000000" w:rsidRPr="00000000" w14:paraId="000000D1">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Proporcionar paquetes de alimentos nutritivos para evitar el deterioro del estado nutricional. </w:t>
      </w:r>
    </w:p>
    <w:p w:rsidR="00000000" w:rsidDel="00000000" w:rsidP="00000000" w:rsidRDefault="00000000" w:rsidRPr="00000000" w14:paraId="000000D2">
      <w:pPr>
        <w:numPr>
          <w:ilvl w:val="0"/>
          <w:numId w:val="2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Transferencia de efectivo multi-propósito para facilitar el acceso a alimentos frescos más diversificados. </w:t>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D5">
      <w:pPr>
        <w:numPr>
          <w:ilvl w:val="0"/>
          <w:numId w:val="2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ha entregado un total de 246 cajas de RUTF en la provincia de Detua, y otras 200 cajas están en camino. </w:t>
      </w:r>
    </w:p>
    <w:p w:rsidR="00000000" w:rsidDel="00000000" w:rsidP="00000000" w:rsidRDefault="00000000" w:rsidRPr="00000000" w14:paraId="000000D6">
      <w:pPr>
        <w:numPr>
          <w:ilvl w:val="0"/>
          <w:numId w:val="2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Entrega y distribución programada de 1,811 cajas de RUTF a la provincia de Dethreea. </w:t>
      </w:r>
    </w:p>
    <w:p w:rsidR="00000000" w:rsidDel="00000000" w:rsidP="00000000" w:rsidRDefault="00000000" w:rsidRPr="00000000" w14:paraId="000000D7">
      <w:pPr>
        <w:numPr>
          <w:ilvl w:val="0"/>
          <w:numId w:val="2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Apoyo al Departamento de Salud (DOH) en la distribución de productos y materiales de nutrición. </w:t>
      </w:r>
    </w:p>
    <w:p w:rsidR="00000000" w:rsidDel="00000000" w:rsidP="00000000" w:rsidRDefault="00000000" w:rsidRPr="00000000" w14:paraId="000000D8">
      <w:pPr>
        <w:numPr>
          <w:ilvl w:val="0"/>
          <w:numId w:val="2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Oficiales de gestión de la información del Grupo de Nutrición y Coordinadores del Grupo de Nutrición movilizados para apoyar a las provincias afectadas en la coordinación y la gestión de la información. </w:t>
      </w:r>
    </w:p>
    <w:p w:rsidR="00000000" w:rsidDel="00000000" w:rsidP="00000000" w:rsidRDefault="00000000" w:rsidRPr="00000000" w14:paraId="000000D9">
      <w:pPr>
        <w:numPr>
          <w:ilvl w:val="0"/>
          <w:numId w:val="2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Formación continua de actualización para los trabajadores de primera línea sobre el tratamiento de la desnutrición aguda grave. </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Brechas </w:t>
      </w:r>
      <w:r w:rsidDel="00000000" w:rsidR="00000000" w:rsidRPr="00000000">
        <w:rPr>
          <w:rtl w:val="0"/>
        </w:rPr>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numPr>
          <w:ilvl w:val="0"/>
          <w:numId w:val="2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Disponibilidad limitada de suministros de nutrición vitales. </w:t>
      </w:r>
    </w:p>
    <w:p w:rsidR="00000000" w:rsidDel="00000000" w:rsidP="00000000" w:rsidRDefault="00000000" w:rsidRPr="00000000" w14:paraId="000000DF">
      <w:pPr>
        <w:numPr>
          <w:ilvl w:val="0"/>
          <w:numId w:val="2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Equipo antropométrico: cintas MUAC, básculas y tablas de altura para realizar evaluaciones rutinarias de la nutrición de mujeres y NNA. </w:t>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Limitaciones </w:t>
      </w:r>
      <w:r w:rsidDel="00000000" w:rsidR="00000000" w:rsidRPr="00000000">
        <w:rPr>
          <w:rtl w:val="0"/>
        </w:rPr>
      </w:r>
    </w:p>
    <w:p w:rsidR="00000000" w:rsidDel="00000000" w:rsidP="00000000" w:rsidRDefault="00000000" w:rsidRPr="00000000" w14:paraId="000000E1">
      <w:pPr>
        <w:numPr>
          <w:ilvl w:val="0"/>
          <w:numId w:val="2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 falta de recursos humanos, ya que el tifón también ha afectado al personal sanitario y de nutrición de la comunidad. </w:t>
      </w:r>
    </w:p>
    <w:p w:rsidR="00000000" w:rsidDel="00000000" w:rsidP="00000000" w:rsidRDefault="00000000" w:rsidRPr="00000000" w14:paraId="000000E2">
      <w:pPr>
        <w:rPr>
          <w:rFonts w:ascii="Arial" w:cs="Arial" w:eastAsia="Arial" w:hAnsi="Arial"/>
          <w:color w:val="585858"/>
          <w:sz w:val="20"/>
          <w:szCs w:val="20"/>
        </w:rPr>
      </w:pPr>
      <w:r w:rsidDel="00000000" w:rsidR="00000000" w:rsidRPr="00000000">
        <w:rPr>
          <w:rtl w:val="0"/>
        </w:rPr>
      </w:r>
    </w:p>
    <w:p w:rsidR="00000000" w:rsidDel="00000000" w:rsidP="00000000" w:rsidRDefault="00000000" w:rsidRPr="00000000" w14:paraId="000000E3">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Logística </w:t>
      </w:r>
      <w:r w:rsidDel="00000000" w:rsidR="00000000" w:rsidRPr="00000000">
        <w:rPr>
          <w:rtl w:val="0"/>
        </w:rPr>
      </w:r>
    </w:p>
    <w:p w:rsidR="00000000" w:rsidDel="00000000" w:rsidP="00000000" w:rsidRDefault="00000000" w:rsidRPr="00000000" w14:paraId="000000E4">
      <w:pPr>
        <w:rPr>
          <w:rFonts w:ascii="Arial" w:cs="Arial" w:eastAsia="Arial" w:hAnsi="Arial"/>
          <w:b w:val="1"/>
          <w:color w:val="585858"/>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 </w:t>
      </w:r>
      <w:r w:rsidDel="00000000" w:rsidR="00000000" w:rsidRPr="00000000">
        <w:rPr>
          <w:rtl w:val="0"/>
        </w:rPr>
      </w:r>
    </w:p>
    <w:p w:rsidR="00000000" w:rsidDel="00000000" w:rsidP="00000000" w:rsidRDefault="00000000" w:rsidRPr="00000000" w14:paraId="000000E6">
      <w:pPr>
        <w:numPr>
          <w:ilvl w:val="0"/>
          <w:numId w:val="28"/>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Necesidad continua de apoyar al Gobierno con el suministro de activos logísticos y el apoyo a las operaciones logísticas, teniendo en cuenta el impacto continuo del tifón en la infraestructura logística. </w:t>
      </w:r>
    </w:p>
    <w:p w:rsidR="00000000" w:rsidDel="00000000" w:rsidP="00000000" w:rsidRDefault="00000000" w:rsidRPr="00000000" w14:paraId="000000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E9">
      <w:pPr>
        <w:numPr>
          <w:ilvl w:val="0"/>
          <w:numId w:val="28"/>
        </w:numPr>
        <w:ind w:left="720" w:hanging="360"/>
        <w:jc w:val="both"/>
        <w:rPr>
          <w:rFonts w:ascii="Arial" w:cs="Arial" w:eastAsia="Arial" w:hAnsi="Arial"/>
        </w:rPr>
      </w:pPr>
      <w:r w:rsidDel="00000000" w:rsidR="00000000" w:rsidRPr="00000000">
        <w:rPr>
          <w:rFonts w:ascii="Arial" w:cs="Arial" w:eastAsia="Arial" w:hAnsi="Arial"/>
          <w:sz w:val="20"/>
          <w:szCs w:val="20"/>
          <w:rtl w:val="0"/>
        </w:rPr>
        <w:t xml:space="preserve">Desde el impacto del tifón, ha proporcionado 152 camiones al Gobierno para transportar más de 173,000 paquetes familiares de alimentos, además de otros artículos de socorro como kits de higiene, kits para dormir y kits familiares. Los artículos se están entregando en las zonas más afectadas </w:t>
      </w:r>
      <w:r w:rsidDel="00000000" w:rsidR="00000000" w:rsidRPr="00000000">
        <w:rPr>
          <w:rtl w:val="0"/>
        </w:rPr>
      </w:r>
    </w:p>
    <w:p w:rsidR="00000000" w:rsidDel="00000000" w:rsidP="00000000" w:rsidRDefault="00000000" w:rsidRPr="00000000" w14:paraId="000000EA">
      <w:pPr>
        <w:numPr>
          <w:ilvl w:val="0"/>
          <w:numId w:val="28"/>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equipo de logística está prestando asistencia técnica al Gobierno en la gestión eficiente y eficaz de los centros logísticos. </w:t>
      </w:r>
    </w:p>
    <w:p w:rsidR="00000000" w:rsidDel="00000000" w:rsidP="00000000" w:rsidRDefault="00000000" w:rsidRPr="00000000" w14:paraId="000000EB">
      <w:pPr>
        <w:numPr>
          <w:ilvl w:val="0"/>
          <w:numId w:val="28"/>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Preparando la instalación de 2 centros adicionales </w:t>
      </w:r>
    </w:p>
    <w:p w:rsidR="00000000" w:rsidDel="00000000" w:rsidP="00000000" w:rsidRDefault="00000000" w:rsidRPr="00000000" w14:paraId="000000E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EE">
      <w:pPr>
        <w:numPr>
          <w:ilvl w:val="0"/>
          <w:numId w:val="1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compañías comerciales de transporte marítimo que operan regularmente con buques de carga son limitadas, lo que está reduciendo la disponibilidad de transporte para los artículos de ayuda humanitaria. En general, y según los horarios habituales, los servicios comerciales a las islas son limitados y estos servicios están bajo presión debido al aumento del volumen de bienes humanitarios que necesitan ser transportados. </w:t>
      </w:r>
    </w:p>
    <w:p w:rsidR="00000000" w:rsidDel="00000000" w:rsidP="00000000" w:rsidRDefault="00000000" w:rsidRPr="00000000" w14:paraId="000000EF">
      <w:pPr>
        <w:numPr>
          <w:ilvl w:val="0"/>
          <w:numId w:val="19"/>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frecuentes e intensas lluvias en la región están afectando a la reanudación de las operaciones de transporte marítimo y terrestre en las zonas afectadas para garantizar la entrega de los artículos de socorro. </w:t>
      </w:r>
    </w:p>
    <w:p w:rsidR="00000000" w:rsidDel="00000000" w:rsidP="00000000" w:rsidRDefault="00000000" w:rsidRPr="00000000" w14:paraId="000000F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Telecomunicaciones de Emergencia </w:t>
      </w:r>
      <w:r w:rsidDel="00000000" w:rsidR="00000000" w:rsidRPr="00000000">
        <w:rPr>
          <w:rtl w:val="0"/>
        </w:rPr>
      </w:r>
    </w:p>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 </w:t>
      </w:r>
      <w:r w:rsidDel="00000000" w:rsidR="00000000" w:rsidRPr="00000000">
        <w:rPr>
          <w:rtl w:val="0"/>
        </w:rPr>
      </w:r>
    </w:p>
    <w:p w:rsidR="00000000" w:rsidDel="00000000" w:rsidP="00000000" w:rsidRDefault="00000000" w:rsidRPr="00000000" w14:paraId="000000F3">
      <w:pPr>
        <w:numPr>
          <w:ilvl w:val="0"/>
          <w:numId w:val="10"/>
        </w:numPr>
        <w:spacing w:after="27"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Aunque los servicios de electricidad y conectividad se están restableciendo gradualmente en toda la zona afectada, muchas localidades siguen sin electricidad ni conectividad de voz y datos, especialmente en la provincia de Dethreea. </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0F6">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WFP, como organismo principal de las Naciones Unidas para las telecomunicaciones de emergencia en Abari, colabora estrechamente con el Departamento de Tecnología de la Información y las Comunicaciones (DICT) del Gobierno de Abari, que dirige el Grupo de Telecomunicaciones de Emergencia (ETC) nacional para apoyar la respuesta al tifón. </w:t>
      </w:r>
    </w:p>
    <w:p w:rsidR="00000000" w:rsidDel="00000000" w:rsidP="00000000" w:rsidRDefault="00000000" w:rsidRPr="00000000" w14:paraId="000000F7">
      <w:pPr>
        <w:numPr>
          <w:ilvl w:val="0"/>
          <w:numId w:val="3"/>
        </w:numPr>
        <w:spacing w:after="27"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coordinador ETC del equipo especialista Global ETC se desplegará en Abari esta semana para apoyar la respuesta. Se están haciendo preparativos para el despliegue de dos especialistas informáticos (IT) adicionales de Ericsson Response, socio de reserva del WFP. </w:t>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0FA">
      <w:pPr>
        <w:numPr>
          <w:ilvl w:val="0"/>
          <w:numId w:val="1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Continuos cortes de electricidad y escasez de combustible para los generadores y el transporte. </w:t>
      </w:r>
    </w:p>
    <w:p w:rsidR="00000000" w:rsidDel="00000000" w:rsidP="00000000" w:rsidRDefault="00000000" w:rsidRPr="00000000" w14:paraId="000000FB">
      <w:pPr>
        <w:numPr>
          <w:ilvl w:val="0"/>
          <w:numId w:val="1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Disponibilidad limitada de equipos de telecomunicaciones en el mercado local de las zonas afectadas. </w:t>
      </w:r>
    </w:p>
    <w:p w:rsidR="00000000" w:rsidDel="00000000" w:rsidP="00000000" w:rsidRDefault="00000000" w:rsidRPr="00000000" w14:paraId="000000F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D">
      <w:pPr>
        <w:rPr>
          <w:rFonts w:ascii="Arial" w:cs="Arial" w:eastAsia="Arial" w:hAnsi="Arial"/>
          <w:b w:val="1"/>
          <w:color w:val="418fde"/>
          <w:sz w:val="23"/>
          <w:szCs w:val="23"/>
        </w:rPr>
      </w:pPr>
      <w:r w:rsidDel="00000000" w:rsidR="00000000" w:rsidRPr="00000000">
        <w:rPr>
          <w:rtl w:val="0"/>
        </w:rPr>
      </w:r>
    </w:p>
    <w:p w:rsidR="00000000" w:rsidDel="00000000" w:rsidP="00000000" w:rsidRDefault="00000000" w:rsidRPr="00000000" w14:paraId="000000FE">
      <w:pPr>
        <w:rPr>
          <w:rFonts w:ascii="Arial" w:cs="Arial" w:eastAsia="Arial" w:hAnsi="Arial"/>
          <w:b w:val="1"/>
          <w:color w:val="418fde"/>
          <w:sz w:val="23"/>
          <w:szCs w:val="23"/>
        </w:rPr>
      </w:pPr>
      <w:r w:rsidDel="00000000" w:rsidR="00000000" w:rsidRPr="00000000">
        <w:rPr>
          <w:rtl w:val="0"/>
        </w:rPr>
      </w:r>
    </w:p>
    <w:p w:rsidR="00000000" w:rsidDel="00000000" w:rsidP="00000000" w:rsidRDefault="00000000" w:rsidRPr="00000000" w14:paraId="000000FF">
      <w:pPr>
        <w:rPr>
          <w:rFonts w:ascii="Arial" w:cs="Arial" w:eastAsia="Arial" w:hAnsi="Arial"/>
          <w:b w:val="1"/>
          <w:color w:val="418fde"/>
          <w:sz w:val="23"/>
          <w:szCs w:val="23"/>
        </w:rPr>
      </w:pPr>
      <w:r w:rsidDel="00000000" w:rsidR="00000000" w:rsidRPr="00000000">
        <w:rPr>
          <w:rtl w:val="0"/>
        </w:rPr>
      </w:r>
    </w:p>
    <w:p w:rsidR="00000000" w:rsidDel="00000000" w:rsidP="00000000" w:rsidRDefault="00000000" w:rsidRPr="00000000" w14:paraId="00000100">
      <w:pPr>
        <w:rPr>
          <w:rFonts w:ascii="Arial" w:cs="Arial" w:eastAsia="Arial" w:hAnsi="Arial"/>
          <w:b w:val="1"/>
          <w:color w:val="418fde"/>
          <w:sz w:val="23"/>
          <w:szCs w:val="23"/>
        </w:rPr>
      </w:pPr>
      <w:r w:rsidDel="00000000" w:rsidR="00000000" w:rsidRPr="00000000">
        <w:rPr>
          <w:rtl w:val="0"/>
        </w:rPr>
      </w:r>
    </w:p>
    <w:p w:rsidR="00000000" w:rsidDel="00000000" w:rsidP="00000000" w:rsidRDefault="00000000" w:rsidRPr="00000000" w14:paraId="00000101">
      <w:pPr>
        <w:rPr>
          <w:rFonts w:ascii="Arial" w:cs="Arial" w:eastAsia="Arial" w:hAnsi="Arial"/>
          <w:b w:val="1"/>
          <w:color w:val="418fde"/>
          <w:sz w:val="23"/>
          <w:szCs w:val="23"/>
        </w:rPr>
      </w:pPr>
      <w:r w:rsidDel="00000000" w:rsidR="00000000" w:rsidRPr="00000000">
        <w:rPr>
          <w:rtl w:val="0"/>
        </w:rPr>
      </w:r>
    </w:p>
    <w:p w:rsidR="00000000" w:rsidDel="00000000" w:rsidP="00000000" w:rsidRDefault="00000000" w:rsidRPr="00000000" w14:paraId="00000102">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Recuperación Temprana </w:t>
      </w: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Necesidades </w:t>
      </w:r>
      <w:r w:rsidDel="00000000" w:rsidR="00000000" w:rsidRPr="00000000">
        <w:rPr>
          <w:rtl w:val="0"/>
        </w:rPr>
      </w:r>
    </w:p>
    <w:p w:rsidR="00000000" w:rsidDel="00000000" w:rsidP="00000000" w:rsidRDefault="00000000" w:rsidRPr="00000000" w14:paraId="00000104">
      <w:pPr>
        <w:numPr>
          <w:ilvl w:val="0"/>
          <w:numId w:val="16"/>
        </w:numPr>
        <w:spacing w:after="21"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Limpieza de escombros de vegetación talada, cocoteros y árboles forestales en las provincias afectadas para prevenir los incendios forestales; "dragado" de los cursos de agua sedimentados cerca de los asentamientos para mitigar las crecidas repentinas en determinados ríos/arroyos. </w:t>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Respuesta </w:t>
      </w:r>
      <w:r w:rsidDel="00000000" w:rsidR="00000000" w:rsidRPr="00000000">
        <w:rPr>
          <w:rtl w:val="0"/>
        </w:rPr>
      </w:r>
    </w:p>
    <w:p w:rsidR="00000000" w:rsidDel="00000000" w:rsidP="00000000" w:rsidRDefault="00000000" w:rsidRPr="00000000" w14:paraId="00000107">
      <w:pPr>
        <w:numPr>
          <w:ilvl w:val="0"/>
          <w:numId w:val="1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Evaluaciones en curso en las 2 provincias para determinar el volumen de escombros, incluidos los cocoteros, que pueden convertirse en materiales para la reconstrucción y la recuperación. </w:t>
      </w:r>
    </w:p>
    <w:p w:rsidR="00000000" w:rsidDel="00000000" w:rsidP="00000000" w:rsidRDefault="00000000" w:rsidRPr="00000000" w14:paraId="00000108">
      <w:pPr>
        <w:numPr>
          <w:ilvl w:val="0"/>
          <w:numId w:val="16"/>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Entrega programada de 20 teléfonos por satélite a las oficinas regionales del DICT y a las UGL para aumentar las comunicaciones de emergencia. </w:t>
      </w:r>
    </w:p>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Brechas y Limitaciones </w:t>
      </w:r>
      <w:r w:rsidDel="00000000" w:rsidR="00000000" w:rsidRPr="00000000">
        <w:rPr>
          <w:rtl w:val="0"/>
        </w:rPr>
      </w:r>
    </w:p>
    <w:p w:rsidR="00000000" w:rsidDel="00000000" w:rsidP="00000000" w:rsidRDefault="00000000" w:rsidRPr="00000000" w14:paraId="0000010B">
      <w:pPr>
        <w:numPr>
          <w:ilvl w:val="0"/>
          <w:numId w:val="3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comunicaciones y la movilidad afectan a la recopilación de datos granulares para las evaluaciones de recuperación. </w:t>
      </w:r>
    </w:p>
    <w:p w:rsidR="00000000" w:rsidDel="00000000" w:rsidP="00000000" w:rsidRDefault="00000000" w:rsidRPr="00000000" w14:paraId="0000010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color w:val="000000"/>
          <w:sz w:val="23"/>
          <w:szCs w:val="23"/>
        </w:rPr>
      </w:pPr>
      <w:r w:rsidDel="00000000" w:rsidR="00000000" w:rsidRPr="00000000">
        <w:rPr>
          <w:rFonts w:ascii="Arial" w:cs="Arial" w:eastAsia="Arial" w:hAnsi="Arial"/>
          <w:b w:val="1"/>
          <w:color w:val="418fde"/>
          <w:sz w:val="23"/>
          <w:szCs w:val="23"/>
          <w:rtl w:val="0"/>
        </w:rPr>
        <w:t xml:space="preserve">Coordinación Humanitaria </w:t>
      </w:r>
      <w:r w:rsidDel="00000000" w:rsidR="00000000" w:rsidRPr="00000000">
        <w:rPr>
          <w:rtl w:val="0"/>
        </w:rPr>
      </w:r>
    </w:p>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OCHA dirige la coordinación humanitaria bajo los auspicios del Equipo Humanitario de País (HCT) junto con el Grupo de Coordinación Inter-Grupo (ICCG), el Equipo Humanitario Abari y grupos temáticos como el CoP de Participación Comunitaria, el CoP de Género en la Acción Humanitaria, el Grupo de Trabajo de Efectivo (CWG), el Grupo de Trabajo PSEA (PSEA TF), el Grupo de Comunicaciones Humanitarias (HCG) y el Grupo de Trabajo de Gestión de la Información (IMWG). </w:t>
      </w:r>
    </w:p>
    <w:p w:rsidR="00000000" w:rsidDel="00000000" w:rsidP="00000000" w:rsidRDefault="00000000" w:rsidRPr="00000000" w14:paraId="000001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Grupo de Trabajo sobre Efectivo, copresidido por el WFP y Oxfam, celebró su primera reunión de coordinación el </w:t>
      </w:r>
      <w:r w:rsidDel="00000000" w:rsidR="00000000" w:rsidRPr="00000000">
        <w:rPr>
          <w:rFonts w:ascii="Arial" w:cs="Arial" w:eastAsia="Arial" w:hAnsi="Arial"/>
          <w:color w:val="ff0000"/>
          <w:sz w:val="20"/>
          <w:szCs w:val="20"/>
          <w:rtl w:val="0"/>
        </w:rPr>
        <w:t xml:space="preserve">[SIM-43 días] </w:t>
      </w:r>
      <w:r w:rsidDel="00000000" w:rsidR="00000000" w:rsidRPr="00000000">
        <w:rPr>
          <w:rFonts w:ascii="Arial" w:cs="Arial" w:eastAsia="Arial" w:hAnsi="Arial"/>
          <w:sz w:val="20"/>
          <w:szCs w:val="20"/>
          <w:rtl w:val="0"/>
        </w:rPr>
        <w:t xml:space="preserve">para compartir información sobre la respuesta en curso, armonizar los valores de las transferencias de efectivo y recopilar la información pertinente de las 3W (Quién, Qué, Dónde). Se organizará una reunión informativa separada con los copresidentes y el coordinador de Efectivo para determinar las áreas de apoyo inmediato. </w:t>
      </w:r>
    </w:p>
    <w:p w:rsidR="00000000" w:rsidDel="00000000" w:rsidP="00000000" w:rsidRDefault="00000000" w:rsidRPr="00000000" w14:paraId="000001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w:t>
      </w:r>
      <w:r w:rsidDel="00000000" w:rsidR="00000000" w:rsidRPr="00000000">
        <w:rPr>
          <w:rFonts w:ascii="Arial" w:cs="Arial" w:eastAsia="Arial" w:hAnsi="Arial"/>
          <w:color w:val="ff0000"/>
          <w:sz w:val="20"/>
          <w:szCs w:val="20"/>
          <w:rtl w:val="0"/>
        </w:rPr>
        <w:t xml:space="preserve">[SIM-44 días]</w:t>
      </w:r>
      <w:r w:rsidDel="00000000" w:rsidR="00000000" w:rsidRPr="00000000">
        <w:rPr>
          <w:rFonts w:ascii="Arial" w:cs="Arial" w:eastAsia="Arial" w:hAnsi="Arial"/>
          <w:sz w:val="20"/>
          <w:szCs w:val="20"/>
          <w:rtl w:val="0"/>
        </w:rPr>
        <w:t xml:space="preserve">, la Comunidad de Práctica sobre Rendición de Cuentas para las Poblaciones Afectadas/Compromiso de la Comunidad acordó desplegar un mapa de intervenciones 3W (Quién, Qué, Dónde) y revisar su herramienta de evaluación para maximizar la información disponible y desplegar la recopilación específica de perspectivas de la comunidad para informar la respuesta. La COP también acordó utilizar los mecanismos de información existentes en otras operaciones/países para enriquecer las plataformas comunes de información de la respuesta actual. </w:t>
      </w:r>
    </w:p>
    <w:p w:rsidR="00000000" w:rsidDel="00000000" w:rsidP="00000000" w:rsidRDefault="00000000" w:rsidRPr="00000000" w14:paraId="00000111">
      <w:pPr>
        <w:jc w:val="both"/>
        <w:rPr>
          <w:rFonts w:ascii="Arial" w:cs="Arial" w:eastAsia="Arial" w:hAnsi="Arial"/>
          <w:b w:val="1"/>
          <w:sz w:val="22"/>
          <w:szCs w:val="22"/>
        </w:rPr>
      </w:pPr>
      <w:r w:rsidDel="00000000" w:rsidR="00000000" w:rsidRPr="00000000">
        <w:rPr>
          <w:rFonts w:ascii="Arial" w:cs="Arial" w:eastAsia="Arial" w:hAnsi="Arial"/>
          <w:sz w:val="20"/>
          <w:szCs w:val="20"/>
          <w:rtl w:val="0"/>
        </w:rPr>
        <w:t xml:space="preserve">El despliegue del apoyo de refuerzo desde fuera del país sigue viéndose obstaculizado por los retrasos en la obtención de visados y las restricciones de viaje de la COVID-19. </w:t>
      </w:r>
      <w:r w:rsidDel="00000000" w:rsidR="00000000" w:rsidRPr="00000000">
        <w:rPr>
          <w:rtl w:val="0"/>
        </w:rPr>
      </w:r>
    </w:p>
    <w:sectPr>
      <w:headerReference r:id="rId9" w:type="default"/>
      <w:pgSz w:h="16838" w:w="11906" w:orient="portrait"/>
      <w:pgMar w:bottom="993"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Arial-BoldM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tabs>
        <w:tab w:val="center" w:leader="none" w:pos="4320"/>
        <w:tab w:val="right" w:leader="none" w:pos="8640"/>
      </w:tabs>
      <w:rPr>
        <w:color w:val="000000"/>
      </w:rPr>
    </w:pPr>
    <w:r w:rsidDel="00000000" w:rsidR="00000000" w:rsidRPr="00000000">
      <w:rPr>
        <w:rFonts w:ascii="Arial-BoldMT" w:cs="Arial-BoldMT" w:eastAsia="Arial-BoldMT" w:hAnsi="Arial-BoldMT"/>
        <w:b w:val="1"/>
        <w:color w:val="ffffff"/>
        <w:sz w:val="20"/>
        <w:szCs w:val="20"/>
      </w:rPr>
      <w:drawing>
        <wp:inline distB="0" distT="0" distL="0" distR="0">
          <wp:extent cx="1104900" cy="112395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4900" cy="1123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P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paragraph" w:styleId="Ttulo1">
    <w:name w:val="heading 1"/>
    <w:basedOn w:val="Normal"/>
    <w:next w:val="Normal"/>
    <w:link w:val="Ttulo1Car"/>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link w:val="Ttulo5Car"/>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link w:val="Ttulo6Car"/>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Pr>
      <w:rFonts w:asciiTheme="majorHAnsi" w:cstheme="majorBidi" w:eastAsiaTheme="majorEastAsia" w:hAnsiTheme="majorHAnsi"/>
      <w:b w:val="1"/>
      <w:bCs w:val="1"/>
      <w:kern w:val="32"/>
      <w:sz w:val="32"/>
      <w:szCs w:val="32"/>
      <w:lang w:val="en-US"/>
    </w:rPr>
  </w:style>
  <w:style w:type="character" w:styleId="Ttulo2Car" w:customStyle="1">
    <w:name w:val="Título 2 Car"/>
    <w:basedOn w:val="Fuentedeprrafopredeter"/>
    <w:link w:val="Ttulo2"/>
    <w:uiPriority w:val="9"/>
    <w:semiHidden w:val="1"/>
    <w:rPr>
      <w:rFonts w:asciiTheme="majorHAnsi" w:cstheme="majorBidi" w:eastAsiaTheme="majorEastAsia" w:hAnsiTheme="majorHAnsi"/>
      <w:b w:val="1"/>
      <w:bCs w:val="1"/>
      <w:i w:val="1"/>
      <w:iCs w:val="1"/>
      <w:sz w:val="28"/>
      <w:szCs w:val="28"/>
      <w:lang w:val="en-US"/>
    </w:rPr>
  </w:style>
  <w:style w:type="character" w:styleId="Ttulo3Car" w:customStyle="1">
    <w:name w:val="Título 3 Car"/>
    <w:basedOn w:val="Fuentedeprrafopredeter"/>
    <w:link w:val="Ttulo3"/>
    <w:uiPriority w:val="9"/>
    <w:semiHidden w:val="1"/>
    <w:rPr>
      <w:rFonts w:asciiTheme="majorHAnsi" w:cstheme="majorBidi" w:eastAsiaTheme="majorEastAsia" w:hAnsiTheme="majorHAnsi"/>
      <w:b w:val="1"/>
      <w:bCs w:val="1"/>
      <w:sz w:val="26"/>
      <w:szCs w:val="26"/>
      <w:lang w:val="en-US"/>
    </w:rPr>
  </w:style>
  <w:style w:type="character" w:styleId="Ttulo4Car" w:customStyle="1">
    <w:name w:val="Título 4 Car"/>
    <w:basedOn w:val="Fuentedeprrafopredeter"/>
    <w:link w:val="Ttulo4"/>
    <w:uiPriority w:val="9"/>
    <w:semiHidden w:val="1"/>
    <w:rPr>
      <w:rFonts w:asciiTheme="minorHAnsi" w:cstheme="minorBidi" w:eastAsiaTheme="minorEastAsia" w:hAnsiTheme="minorHAnsi"/>
      <w:b w:val="1"/>
      <w:bCs w:val="1"/>
      <w:sz w:val="28"/>
      <w:szCs w:val="28"/>
      <w:lang w:val="en-US"/>
    </w:rPr>
  </w:style>
  <w:style w:type="character" w:styleId="Ttulo5Car" w:customStyle="1">
    <w:name w:val="Título 5 Car"/>
    <w:basedOn w:val="Fuentedeprrafopredeter"/>
    <w:link w:val="Ttulo5"/>
    <w:uiPriority w:val="9"/>
    <w:semiHidden w:val="1"/>
    <w:rPr>
      <w:rFonts w:asciiTheme="minorHAnsi" w:cstheme="minorBidi" w:eastAsiaTheme="minorEastAsia" w:hAnsiTheme="minorHAnsi"/>
      <w:b w:val="1"/>
      <w:bCs w:val="1"/>
      <w:i w:val="1"/>
      <w:iCs w:val="1"/>
      <w:sz w:val="26"/>
      <w:szCs w:val="26"/>
      <w:lang w:val="en-US"/>
    </w:rPr>
  </w:style>
  <w:style w:type="character" w:styleId="Ttulo6Car" w:customStyle="1">
    <w:name w:val="Título 6 Car"/>
    <w:basedOn w:val="Fuentedeprrafopredeter"/>
    <w:link w:val="Ttulo6"/>
    <w:uiPriority w:val="9"/>
    <w:semiHidden w:val="1"/>
    <w:rPr>
      <w:rFonts w:asciiTheme="minorHAnsi" w:cstheme="minorBidi" w:eastAsiaTheme="minorEastAsia" w:hAnsiTheme="minorHAnsi"/>
      <w:b w:val="1"/>
      <w:bCs w:val="1"/>
      <w:sz w:val="22"/>
      <w:szCs w:val="22"/>
      <w:lang w:val="en-US"/>
    </w:rPr>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pPr>
      <w:keepNext w:val="1"/>
      <w:keepLines w:val="1"/>
      <w:spacing w:after="120" w:before="480"/>
    </w:pPr>
    <w:rPr>
      <w:b w:val="1"/>
      <w:sz w:val="72"/>
      <w:szCs w:val="72"/>
    </w:rPr>
  </w:style>
  <w:style w:type="character" w:styleId="TtuloCar" w:customStyle="1">
    <w:name w:val="Título Car"/>
    <w:basedOn w:val="Fuentedeprrafopredeter"/>
    <w:link w:val="Ttulo"/>
    <w:uiPriority w:val="10"/>
    <w:rPr>
      <w:rFonts w:asciiTheme="majorHAnsi" w:cstheme="majorBidi" w:eastAsiaTheme="majorEastAsia" w:hAnsiTheme="majorHAnsi"/>
      <w:b w:val="1"/>
      <w:bCs w:val="1"/>
      <w:kern w:val="28"/>
      <w:sz w:val="32"/>
      <w:szCs w:val="32"/>
      <w:lang w:val="en-US"/>
    </w:rPr>
  </w:style>
  <w:style w:type="paragraph" w:styleId="Encabezado">
    <w:name w:val="header"/>
    <w:basedOn w:val="Normal"/>
    <w:link w:val="EncabezadoCar"/>
    <w:uiPriority w:val="99"/>
    <w:pPr>
      <w:tabs>
        <w:tab w:val="center" w:pos="4320"/>
        <w:tab w:val="right" w:pos="8640"/>
      </w:tabs>
    </w:pPr>
  </w:style>
  <w:style w:type="character" w:styleId="EncabezadoCar" w:customStyle="1">
    <w:name w:val="Encabezado Car"/>
    <w:basedOn w:val="Fuentedeprrafopredeter"/>
    <w:link w:val="Encabezado"/>
    <w:uiPriority w:val="99"/>
    <w:locked w:val="1"/>
    <w:rPr>
      <w:rFonts w:ascii="Times New Roman" w:cs="Times New Roman" w:hAnsi="Times New Roman"/>
      <w:sz w:val="24"/>
      <w:szCs w:val="24"/>
      <w:lang w:eastAsia="x-none" w:val="en-US"/>
    </w:rPr>
  </w:style>
  <w:style w:type="character" w:styleId="categorydata" w:customStyle="1">
    <w:name w:val="category_data"/>
  </w:style>
  <w:style w:type="paragraph" w:styleId="Textoindependiente2">
    <w:name w:val="Body Text 2"/>
    <w:basedOn w:val="Normal"/>
    <w:link w:val="Textoindependiente2Car"/>
    <w:uiPriority w:val="99"/>
    <w:rPr>
      <w:rFonts w:ascii="Arial" w:hAnsi="Arial"/>
      <w:sz w:val="22"/>
      <w:lang w:val="en-GB"/>
    </w:rPr>
  </w:style>
  <w:style w:type="character" w:styleId="Textoindependiente2Car" w:customStyle="1">
    <w:name w:val="Texto independiente 2 Car"/>
    <w:basedOn w:val="Fuentedeprrafopredeter"/>
    <w:link w:val="Textoindependiente2"/>
    <w:uiPriority w:val="99"/>
    <w:locked w:val="1"/>
    <w:rPr>
      <w:rFonts w:ascii="Arial" w:cs="Times New Roman" w:hAnsi="Arial"/>
      <w:sz w:val="24"/>
      <w:szCs w:val="24"/>
    </w:rPr>
  </w:style>
  <w:style w:type="paragraph" w:styleId="Textodeglobo">
    <w:name w:val="Balloon Text"/>
    <w:basedOn w:val="Normal"/>
    <w:link w:val="TextodegloboCar"/>
    <w:uiPriority w:val="99"/>
    <w:semiHidden w:val="1"/>
    <w:unhideWhenUsed w:val="1"/>
    <w:rPr>
      <w:rFonts w:ascii="Tahoma" w:cs="Tahoma" w:hAnsi="Tahoma"/>
      <w:sz w:val="16"/>
      <w:szCs w:val="16"/>
    </w:rPr>
  </w:style>
  <w:style w:type="character" w:styleId="TextodegloboCar" w:customStyle="1">
    <w:name w:val="Texto de globo Car"/>
    <w:basedOn w:val="Fuentedeprrafopredeter"/>
    <w:link w:val="Textodeglobo"/>
    <w:uiPriority w:val="99"/>
    <w:semiHidden w:val="1"/>
    <w:locked w:val="1"/>
    <w:rPr>
      <w:rFonts w:ascii="Tahoma" w:cs="Tahoma" w:hAnsi="Tahoma"/>
      <w:sz w:val="16"/>
      <w:szCs w:val="16"/>
      <w:lang w:eastAsia="x-none" w:val="en-US"/>
    </w:rPr>
  </w:style>
  <w:style w:type="paragraph" w:styleId="Prrafodelista">
    <w:name w:val="List Paragraph"/>
    <w:basedOn w:val="Normal"/>
    <w:uiPriority w:val="34"/>
    <w:qFormat w:val="1"/>
    <w:pPr>
      <w:ind w:left="720"/>
      <w:contextualSpacing w:val="1"/>
    </w:pPr>
    <w:rPr>
      <w:lang w:val="en-GB"/>
    </w:rPr>
  </w:style>
  <w:style w:type="paragraph" w:styleId="Piedepgina">
    <w:name w:val="footer"/>
    <w:basedOn w:val="Normal"/>
    <w:link w:val="PiedepginaCar"/>
    <w:uiPriority w:val="99"/>
    <w:unhideWhenUsed w:val="1"/>
    <w:pPr>
      <w:tabs>
        <w:tab w:val="center" w:pos="4819"/>
        <w:tab w:val="right" w:pos="9638"/>
      </w:tabs>
    </w:pPr>
  </w:style>
  <w:style w:type="character" w:styleId="PiedepginaCar" w:customStyle="1">
    <w:name w:val="Pie de página Car"/>
    <w:basedOn w:val="Fuentedeprrafopredeter"/>
    <w:link w:val="Piedepgina"/>
    <w:uiPriority w:val="99"/>
    <w:locked w:val="1"/>
    <w:rPr>
      <w:rFonts w:ascii="Times New Roman" w:cs="Times New Roman" w:hAnsi="Times New Roman"/>
      <w:sz w:val="24"/>
      <w:szCs w:val="24"/>
      <w:lang w:eastAsia="x-none" w:val="en-US"/>
    </w:rPr>
  </w:style>
  <w:style w:type="character" w:styleId="Refdecomentario">
    <w:name w:val="annotation reference"/>
    <w:basedOn w:val="Fuentedeprrafopredeter"/>
    <w:uiPriority w:val="99"/>
    <w:semiHidden w:val="1"/>
    <w:unhideWhenUsed w:val="1"/>
    <w:rPr>
      <w:rFonts w:cs="Times New Roman"/>
      <w:sz w:val="16"/>
      <w:szCs w:val="16"/>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locked w:val="1"/>
    <w:rPr>
      <w:rFonts w:ascii="Times New Roman" w:cs="Times New Roman" w:hAnsi="Times New Roman"/>
      <w:sz w:val="20"/>
      <w:szCs w:val="20"/>
      <w:lang w:eastAsia="x-none" w:val="en-US"/>
    </w:rPr>
  </w:style>
  <w:style w:type="paragraph" w:styleId="Asuntodelcomentario">
    <w:name w:val="annotation subject"/>
    <w:basedOn w:val="Textocomentario"/>
    <w:next w:val="Textocomentario"/>
    <w:link w:val="AsuntodelcomentarioCar"/>
    <w:uiPriority w:val="99"/>
    <w:semiHidden w:val="1"/>
    <w:unhideWhenUsed w:val="1"/>
    <w:rPr>
      <w:b w:val="1"/>
      <w:bCs w:val="1"/>
    </w:rPr>
  </w:style>
  <w:style w:type="character" w:styleId="AsuntodelcomentarioCar" w:customStyle="1">
    <w:name w:val="Asunto del comentario Car"/>
    <w:basedOn w:val="TextocomentarioCar"/>
    <w:link w:val="Asuntodelcomentario"/>
    <w:uiPriority w:val="99"/>
    <w:semiHidden w:val="1"/>
    <w:locked w:val="1"/>
    <w:rPr>
      <w:rFonts w:ascii="Times New Roman" w:cs="Times New Roman" w:hAnsi="Times New Roman"/>
      <w:b w:val="1"/>
      <w:bCs w:val="1"/>
      <w:sz w:val="20"/>
      <w:szCs w:val="20"/>
      <w:lang w:eastAsia="x-none" w:val="en-US"/>
    </w:rPr>
  </w:style>
  <w:style w:type="paragraph" w:styleId="Default" w:customStyle="1">
    <w:name w:val="Default"/>
    <w:pPr>
      <w:autoSpaceDE w:val="0"/>
      <w:autoSpaceDN w:val="0"/>
      <w:adjustRightInd w:val="0"/>
    </w:pPr>
    <w:rPr>
      <w:rFonts w:ascii="Arial" w:cs="Arial" w:hAnsi="Arial"/>
      <w:color w:val="000000"/>
    </w:rPr>
  </w:style>
  <w:style w:type="paragraph" w:styleId="Subttulo">
    <w:name w:val="Subtitle"/>
    <w:basedOn w:val="Normal"/>
    <w:next w:val="Normal"/>
    <w:link w:val="SubttuloCar"/>
    <w:uiPriority w:val="11"/>
    <w:qFormat w:val="1"/>
    <w:pPr>
      <w:keepNext w:val="1"/>
      <w:keepLines w:val="1"/>
      <w:spacing w:after="80" w:before="360"/>
    </w:pPr>
    <w:rPr>
      <w:rFonts w:ascii="Georgia" w:cs="Georgia" w:hAnsi="Georgia"/>
      <w:i w:val="1"/>
      <w:color w:val="666666"/>
      <w:sz w:val="48"/>
      <w:szCs w:val="48"/>
    </w:rPr>
  </w:style>
  <w:style w:type="character" w:styleId="SubttuloCar" w:customStyle="1">
    <w:name w:val="Subtítulo Car"/>
    <w:basedOn w:val="Fuentedeprrafopredeter"/>
    <w:link w:val="Subttulo"/>
    <w:uiPriority w:val="11"/>
    <w:rPr>
      <w:rFonts w:asciiTheme="majorHAnsi" w:cstheme="majorBidi" w:eastAsiaTheme="majorEastAsia" w:hAnsiTheme="majorHAnsi"/>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udQWXcBekdaVdtIcbkJeMAFcw==">CgMxLjA4AHIhMW9Lcjd5aWxRbm1pSWZfa194aGZGWDhLQlczdkNsZWVJ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2024-04-27T17:51:00Z</dcterms:created>
  <dc:creator>jridsdel</dc:creator>
</cp:coreProperties>
</file>