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0829BE">
      <w:r w:rsidRPr="001E7894">
        <w:rPr>
          <w:noProof/>
        </w:rPr>
        <w:drawing>
          <wp:anchor distT="0" distB="0" distL="114300" distR="114300" simplePos="0" relativeHeight="251658240" behindDoc="1" locked="0" layoutInCell="1" allowOverlap="1" wp14:anchorId="03CEFBD2" wp14:editId="261A413A">
            <wp:simplePos x="0" y="0"/>
            <wp:positionH relativeFrom="margin">
              <wp:align>right</wp:align>
            </wp:positionH>
            <wp:positionV relativeFrom="paragraph">
              <wp:posOffset>0</wp:posOffset>
            </wp:positionV>
            <wp:extent cx="9096375" cy="2533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53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62077FE1" w:rsidR="00903A62" w:rsidRDefault="00525500" w:rsidP="000829BE">
      <w:pPr>
        <w:pStyle w:val="Heading9"/>
      </w:pPr>
      <w:bookmarkStart w:id="0" w:name="_Toc522623217"/>
      <w:r w:rsidRPr="00525500">
        <w:t xml:space="preserve">Paquete de </w:t>
      </w:r>
      <w:proofErr w:type="spellStart"/>
      <w:r w:rsidRPr="00525500">
        <w:t>Capacitación</w:t>
      </w:r>
      <w:proofErr w:type="spellEnd"/>
      <w:r w:rsidRPr="00525500">
        <w:t xml:space="preserve"> PNAH-NMPNA</w:t>
      </w:r>
    </w:p>
    <w:p w14:paraId="795782A3" w14:textId="171AB06D" w:rsidR="00EA546B" w:rsidRDefault="00D76EC6" w:rsidP="000829BE">
      <w:pPr>
        <w:pStyle w:val="Heading9"/>
      </w:pPr>
      <w:proofErr w:type="spellStart"/>
      <w:r w:rsidRPr="00D76EC6">
        <w:t>Estrategias</w:t>
      </w:r>
      <w:proofErr w:type="spellEnd"/>
      <w:r w:rsidRPr="00D76EC6">
        <w:t xml:space="preserve"> de </w:t>
      </w:r>
      <w:proofErr w:type="spellStart"/>
      <w:r w:rsidRPr="00D76EC6">
        <w:t>Prevención</w:t>
      </w:r>
      <w:proofErr w:type="spellEnd"/>
      <w:r w:rsidRPr="00D76EC6">
        <w:t xml:space="preserve"> y Respuesta a la PN</w:t>
      </w:r>
      <w:r w:rsidR="008C638A" w:rsidRPr="002A26BD">
        <w:t xml:space="preserve"> </w:t>
      </w:r>
    </w:p>
    <w:p w14:paraId="6704040C" w14:textId="77777777" w:rsidR="00903A62" w:rsidRDefault="00903A62" w:rsidP="000829BE"/>
    <w:p w14:paraId="358DD791" w14:textId="77777777" w:rsidR="002A26BD" w:rsidRPr="00903A62" w:rsidRDefault="002A26BD" w:rsidP="000829BE"/>
    <w:bookmarkEnd w:id="0"/>
    <w:p w14:paraId="2D3B991B" w14:textId="056B8C00" w:rsidR="007056C9" w:rsidRPr="00E0506C" w:rsidRDefault="00C03FBF" w:rsidP="00C03FBF">
      <w:pPr>
        <w:pStyle w:val="1Heading1"/>
      </w:pPr>
      <w:r w:rsidRPr="00C03FBF">
        <w:t>Objetivos</w:t>
      </w:r>
    </w:p>
    <w:p w14:paraId="1E624F83" w14:textId="10DC7FC8" w:rsidR="00C9183D" w:rsidRPr="0041017E" w:rsidRDefault="00C77430" w:rsidP="000829BE">
      <w:pPr>
        <w:pStyle w:val="TableSmallBlueHeading"/>
      </w:pPr>
      <w:bookmarkStart w:id="1" w:name="_Toc522623219"/>
      <w:r w:rsidRPr="00C77430">
        <w:t xml:space="preserve">Al final de la </w:t>
      </w:r>
      <w:proofErr w:type="spellStart"/>
      <w:r w:rsidRPr="00C77430">
        <w:t>sesión</w:t>
      </w:r>
      <w:proofErr w:type="spellEnd"/>
      <w:r w:rsidRPr="00C77430">
        <w:t xml:space="preserve">, </w:t>
      </w:r>
      <w:proofErr w:type="spellStart"/>
      <w:r w:rsidRPr="00C77430">
        <w:t>los</w:t>
      </w:r>
      <w:proofErr w:type="spellEnd"/>
      <w:r w:rsidRPr="00C77430">
        <w:t xml:space="preserve"> </w:t>
      </w:r>
      <w:proofErr w:type="spellStart"/>
      <w:r w:rsidRPr="00C77430">
        <w:t>participantes</w:t>
      </w:r>
      <w:proofErr w:type="spellEnd"/>
      <w:r w:rsidRPr="00C77430">
        <w:t xml:space="preserve"> </w:t>
      </w:r>
      <w:proofErr w:type="spellStart"/>
      <w:r w:rsidRPr="00C77430">
        <w:t>serán</w:t>
      </w:r>
      <w:proofErr w:type="spellEnd"/>
      <w:r w:rsidRPr="00C77430">
        <w:t xml:space="preserve"> </w:t>
      </w:r>
      <w:proofErr w:type="spellStart"/>
      <w:r w:rsidRPr="00C77430">
        <w:t>capaces</w:t>
      </w:r>
      <w:proofErr w:type="spellEnd"/>
      <w:r w:rsidRPr="00C77430">
        <w:t xml:space="preserve"> d</w:t>
      </w:r>
      <w:r>
        <w:t>e</w:t>
      </w:r>
      <w:r w:rsidR="0041017E">
        <w:t>:</w:t>
      </w:r>
    </w:p>
    <w:bookmarkEnd w:id="1"/>
    <w:p w14:paraId="5DB265CE" w14:textId="77777777" w:rsidR="003502BC" w:rsidRDefault="003502BC" w:rsidP="003502BC">
      <w:pPr>
        <w:pStyle w:val="NormalTextBulletsLevel1"/>
      </w:pPr>
      <w:r>
        <w:t xml:space="preserve">- </w:t>
      </w:r>
      <w:proofErr w:type="spellStart"/>
      <w:r>
        <w:t>Recordar</w:t>
      </w:r>
      <w:proofErr w:type="spellEnd"/>
      <w:r>
        <w:t xml:space="preserve">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que son </w:t>
      </w:r>
      <w:proofErr w:type="spellStart"/>
      <w:r>
        <w:t>relevantes</w:t>
      </w:r>
      <w:proofErr w:type="spellEnd"/>
      <w:r>
        <w:t xml:space="preserve"> para las </w:t>
      </w:r>
      <w:proofErr w:type="spellStart"/>
      <w:r>
        <w:t>estrategias</w:t>
      </w:r>
      <w:proofErr w:type="spellEnd"/>
      <w:r>
        <w:t xml:space="preserve"> de PN.</w:t>
      </w:r>
    </w:p>
    <w:p w14:paraId="1FF87ECF" w14:textId="77777777" w:rsidR="003502BC" w:rsidRDefault="003502BC" w:rsidP="003502BC">
      <w:pPr>
        <w:pStyle w:val="NormalTextBulletsLevel1"/>
      </w:pPr>
      <w:r>
        <w:t xml:space="preserve">- </w:t>
      </w:r>
      <w:proofErr w:type="spellStart"/>
      <w:r>
        <w:t>Reflexionar</w:t>
      </w:r>
      <w:proofErr w:type="spellEnd"/>
      <w:r>
        <w:t xml:space="preserve"> </w:t>
      </w:r>
      <w:proofErr w:type="spellStart"/>
      <w:r>
        <w:t>sobre</w:t>
      </w:r>
      <w:proofErr w:type="spellEnd"/>
      <w:r>
        <w:t xml:space="preserve"> las </w:t>
      </w:r>
      <w:proofErr w:type="spellStart"/>
      <w:r>
        <w:t>estrategias</w:t>
      </w:r>
      <w:proofErr w:type="spellEnd"/>
      <w:r>
        <w:t xml:space="preserve"> de PN </w:t>
      </w:r>
      <w:proofErr w:type="spellStart"/>
      <w:r>
        <w:t>más</w:t>
      </w:r>
      <w:proofErr w:type="spellEnd"/>
      <w:r>
        <w:t xml:space="preserve"> </w:t>
      </w:r>
      <w:proofErr w:type="spellStart"/>
      <w:r>
        <w:t>pertinentes</w:t>
      </w:r>
      <w:proofErr w:type="spellEnd"/>
      <w:r>
        <w:t xml:space="preserve">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contexto</w:t>
      </w:r>
      <w:proofErr w:type="spellEnd"/>
      <w:r>
        <w:t xml:space="preserve">. </w:t>
      </w:r>
    </w:p>
    <w:p w14:paraId="3FD6FDEA" w14:textId="39ED4110" w:rsidR="002C0708" w:rsidRDefault="003502BC" w:rsidP="003502BC">
      <w:pPr>
        <w:pStyle w:val="NormalTextBulletsLevel1"/>
        <w:rPr>
          <w:highlight w:val="white"/>
        </w:rPr>
      </w:pPr>
      <w:r>
        <w:t xml:space="preserve">- </w:t>
      </w:r>
      <w:proofErr w:type="spellStart"/>
      <w:r>
        <w:t>Debatir</w:t>
      </w:r>
      <w:proofErr w:type="spellEnd"/>
      <w:r>
        <w:t xml:space="preserve"> </w:t>
      </w:r>
      <w:proofErr w:type="spellStart"/>
      <w:r>
        <w:t>los</w:t>
      </w:r>
      <w:proofErr w:type="spellEnd"/>
      <w:r>
        <w:t xml:space="preserve"> </w:t>
      </w:r>
      <w:proofErr w:type="spellStart"/>
      <w:r>
        <w:t>desafíos</w:t>
      </w:r>
      <w:proofErr w:type="spellEnd"/>
      <w:r>
        <w:t xml:space="preserve"> y las </w:t>
      </w:r>
      <w:proofErr w:type="spellStart"/>
      <w:r>
        <w:t>oportunidades</w:t>
      </w:r>
      <w:proofErr w:type="spellEnd"/>
      <w:r>
        <w:t xml:space="preserve"> de </w:t>
      </w:r>
      <w:proofErr w:type="spellStart"/>
      <w:r>
        <w:t>aplicar</w:t>
      </w:r>
      <w:proofErr w:type="spellEnd"/>
      <w:r>
        <w:t xml:space="preserve"> </w:t>
      </w:r>
      <w:proofErr w:type="spellStart"/>
      <w:r>
        <w:t>estrategias</w:t>
      </w:r>
      <w:proofErr w:type="spellEnd"/>
      <w:r>
        <w:t xml:space="preserve"> de PN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contexto</w:t>
      </w:r>
      <w:proofErr w:type="spellEnd"/>
      <w:r>
        <w:t>.</w:t>
      </w:r>
    </w:p>
    <w:p w14:paraId="2AC304A4" w14:textId="4D766F6F" w:rsidR="000C544D" w:rsidRDefault="001019C1" w:rsidP="001019C1">
      <w:pPr>
        <w:pStyle w:val="1Heading1"/>
      </w:pPr>
      <w:r w:rsidRPr="001019C1">
        <w:t>Puntos Clave del Aprendizaje</w:t>
      </w:r>
    </w:p>
    <w:p w14:paraId="57E88FAB" w14:textId="23C775CC" w:rsidR="002D3C89" w:rsidRPr="000829BE" w:rsidRDefault="00BE694F" w:rsidP="000829BE">
      <w:pPr>
        <w:rPr>
          <w:b/>
          <w:i/>
          <w:iCs/>
        </w:rPr>
      </w:pPr>
      <w:r w:rsidRPr="00BE694F">
        <w:rPr>
          <w:i/>
          <w:iCs/>
        </w:rPr>
        <w:t xml:space="preserve">Para </w:t>
      </w:r>
      <w:proofErr w:type="spellStart"/>
      <w:r w:rsidRPr="00BE694F">
        <w:rPr>
          <w:i/>
          <w:iCs/>
        </w:rPr>
        <w:t>profundizar</w:t>
      </w:r>
      <w:proofErr w:type="spellEnd"/>
      <w:r w:rsidRPr="00BE694F">
        <w:rPr>
          <w:i/>
          <w:iCs/>
        </w:rPr>
        <w:t xml:space="preserve"> </w:t>
      </w:r>
      <w:proofErr w:type="spellStart"/>
      <w:r w:rsidRPr="00BE694F">
        <w:rPr>
          <w:i/>
          <w:iCs/>
        </w:rPr>
        <w:t>en</w:t>
      </w:r>
      <w:proofErr w:type="spellEnd"/>
      <w:r w:rsidRPr="00BE694F">
        <w:rPr>
          <w:i/>
          <w:iCs/>
        </w:rPr>
        <w:t xml:space="preserve"> </w:t>
      </w:r>
      <w:proofErr w:type="spellStart"/>
      <w:r w:rsidRPr="00BE694F">
        <w:rPr>
          <w:i/>
          <w:iCs/>
        </w:rPr>
        <w:t>el</w:t>
      </w:r>
      <w:proofErr w:type="spellEnd"/>
      <w:r w:rsidRPr="00BE694F">
        <w:rPr>
          <w:i/>
          <w:iCs/>
        </w:rPr>
        <w:t xml:space="preserve"> </w:t>
      </w:r>
      <w:proofErr w:type="spellStart"/>
      <w:r w:rsidRPr="00BE694F">
        <w:rPr>
          <w:i/>
          <w:iCs/>
        </w:rPr>
        <w:t>contenido</w:t>
      </w:r>
      <w:proofErr w:type="spellEnd"/>
      <w:r w:rsidRPr="00BE694F">
        <w:rPr>
          <w:i/>
          <w:iCs/>
        </w:rPr>
        <w:t xml:space="preserve"> de </w:t>
      </w:r>
      <w:proofErr w:type="spellStart"/>
      <w:r w:rsidRPr="00BE694F">
        <w:rPr>
          <w:i/>
          <w:iCs/>
        </w:rPr>
        <w:t>los</w:t>
      </w:r>
      <w:proofErr w:type="spellEnd"/>
      <w:r w:rsidRPr="00BE694F">
        <w:rPr>
          <w:i/>
          <w:iCs/>
        </w:rPr>
        <w:t xml:space="preserve"> puntos clave de </w:t>
      </w:r>
      <w:proofErr w:type="spellStart"/>
      <w:r w:rsidRPr="00BE694F">
        <w:rPr>
          <w:i/>
          <w:iCs/>
        </w:rPr>
        <w:t>aprendizaje</w:t>
      </w:r>
      <w:proofErr w:type="spellEnd"/>
      <w:r w:rsidRPr="00BE694F">
        <w:rPr>
          <w:i/>
          <w:iCs/>
        </w:rPr>
        <w:t xml:space="preserve"> </w:t>
      </w:r>
      <w:proofErr w:type="spellStart"/>
      <w:r w:rsidRPr="00BE694F">
        <w:rPr>
          <w:i/>
          <w:iCs/>
        </w:rPr>
        <w:t>enumerados</w:t>
      </w:r>
      <w:proofErr w:type="spellEnd"/>
      <w:r w:rsidRPr="00BE694F">
        <w:rPr>
          <w:i/>
          <w:iCs/>
        </w:rPr>
        <w:t xml:space="preserve"> a </w:t>
      </w:r>
      <w:proofErr w:type="spellStart"/>
      <w:r w:rsidRPr="00BE694F">
        <w:rPr>
          <w:i/>
          <w:iCs/>
        </w:rPr>
        <w:t>continuación</w:t>
      </w:r>
      <w:proofErr w:type="spellEnd"/>
      <w:r w:rsidRPr="00BE694F">
        <w:rPr>
          <w:i/>
          <w:iCs/>
        </w:rPr>
        <w:t xml:space="preserve">, </w:t>
      </w:r>
      <w:proofErr w:type="spellStart"/>
      <w:r w:rsidRPr="00BE694F">
        <w:rPr>
          <w:i/>
          <w:iCs/>
        </w:rPr>
        <w:t>consulte</w:t>
      </w:r>
      <w:proofErr w:type="spellEnd"/>
      <w:r w:rsidRPr="00BE694F">
        <w:rPr>
          <w:i/>
          <w:iCs/>
        </w:rPr>
        <w:t xml:space="preserve"> la </w:t>
      </w:r>
      <w:proofErr w:type="spellStart"/>
      <w:r w:rsidRPr="00BE694F">
        <w:rPr>
          <w:i/>
          <w:iCs/>
        </w:rPr>
        <w:t>sección</w:t>
      </w:r>
      <w:proofErr w:type="spellEnd"/>
      <w:r w:rsidRPr="00BE694F">
        <w:rPr>
          <w:i/>
          <w:iCs/>
        </w:rPr>
        <w:t xml:space="preserve"> "</w:t>
      </w:r>
      <w:proofErr w:type="spellStart"/>
      <w:r w:rsidRPr="00BE694F">
        <w:rPr>
          <w:i/>
          <w:iCs/>
        </w:rPr>
        <w:t>Recursos</w:t>
      </w:r>
      <w:proofErr w:type="spellEnd"/>
      <w:r w:rsidRPr="00BE694F">
        <w:rPr>
          <w:i/>
          <w:iCs/>
        </w:rPr>
        <w:t xml:space="preserve"> </w:t>
      </w:r>
      <w:proofErr w:type="spellStart"/>
      <w:r w:rsidRPr="00BE694F">
        <w:rPr>
          <w:i/>
          <w:iCs/>
        </w:rPr>
        <w:t>Adicionales</w:t>
      </w:r>
      <w:proofErr w:type="spellEnd"/>
      <w:r w:rsidRPr="00BE694F">
        <w:rPr>
          <w:i/>
          <w:iCs/>
        </w:rPr>
        <w:t xml:space="preserve">" al final de la </w:t>
      </w:r>
      <w:proofErr w:type="spellStart"/>
      <w:r w:rsidRPr="00BE694F">
        <w:rPr>
          <w:i/>
          <w:iCs/>
        </w:rPr>
        <w:t>sesión</w:t>
      </w:r>
      <w:proofErr w:type="spellEnd"/>
      <w:r w:rsidR="002D3C89" w:rsidRPr="000829BE">
        <w:rPr>
          <w:i/>
          <w:iCs/>
        </w:rPr>
        <w:t xml:space="preserve">. </w:t>
      </w:r>
    </w:p>
    <w:p w14:paraId="2E2C2F10" w14:textId="77777777" w:rsidR="007552EB" w:rsidRDefault="007552EB" w:rsidP="007552EB">
      <w:pPr>
        <w:pStyle w:val="NormalTextBulletsLevel1"/>
      </w:pPr>
      <w:r>
        <w:lastRenderedPageBreak/>
        <w:t xml:space="preserve">El Pilar 3 de las NMPNA se centra </w:t>
      </w:r>
      <w:proofErr w:type="spellStart"/>
      <w:r>
        <w:t>en</w:t>
      </w:r>
      <w:proofErr w:type="spellEnd"/>
      <w:r>
        <w:t xml:space="preserve"> las </w:t>
      </w:r>
      <w:proofErr w:type="spellStart"/>
      <w:r>
        <w:t>estrategias</w:t>
      </w:r>
      <w:proofErr w:type="spellEnd"/>
      <w:r>
        <w:t xml:space="preserve">, y </w:t>
      </w:r>
      <w:proofErr w:type="spellStart"/>
      <w:r>
        <w:t>contiene</w:t>
      </w:r>
      <w:proofErr w:type="spellEnd"/>
      <w:r>
        <w:t xml:space="preserve"> </w:t>
      </w:r>
      <w:proofErr w:type="spellStart"/>
      <w:r>
        <w:t>siete</w:t>
      </w:r>
      <w:proofErr w:type="spellEnd"/>
      <w:r>
        <w:t xml:space="preserve"> </w:t>
      </w:r>
      <w:proofErr w:type="spellStart"/>
      <w:r>
        <w:t>normas</w:t>
      </w:r>
      <w:proofErr w:type="spellEnd"/>
      <w:r>
        <w:t xml:space="preserve"> que </w:t>
      </w:r>
      <w:proofErr w:type="spellStart"/>
      <w:r>
        <w:t>detallan</w:t>
      </w:r>
      <w:proofErr w:type="spellEnd"/>
      <w:r>
        <w:t xml:space="preserve"> </w:t>
      </w:r>
      <w:proofErr w:type="spellStart"/>
      <w:r>
        <w:t>estrategias</w:t>
      </w:r>
      <w:proofErr w:type="spellEnd"/>
      <w:r>
        <w:t xml:space="preserve"> </w:t>
      </w:r>
      <w:proofErr w:type="spellStart"/>
      <w:r>
        <w:t>específicas</w:t>
      </w:r>
      <w:proofErr w:type="spellEnd"/>
      <w:r>
        <w:t xml:space="preserve">. Se </w:t>
      </w:r>
      <w:proofErr w:type="spellStart"/>
      <w:r>
        <w:t>trata</w:t>
      </w:r>
      <w:proofErr w:type="spellEnd"/>
      <w:r>
        <w:t xml:space="preserve"> de las </w:t>
      </w:r>
      <w:proofErr w:type="spellStart"/>
      <w:r>
        <w:t>normas</w:t>
      </w:r>
      <w:proofErr w:type="spellEnd"/>
      <w:r>
        <w:t xml:space="preserve"> 14-20. Para </w:t>
      </w:r>
      <w:proofErr w:type="spellStart"/>
      <w:r>
        <w:t>cada</w:t>
      </w:r>
      <w:proofErr w:type="spellEnd"/>
      <w:r>
        <w:t xml:space="preserve"> </w:t>
      </w:r>
      <w:proofErr w:type="spellStart"/>
      <w:r>
        <w:t>estrategia</w:t>
      </w:r>
      <w:proofErr w:type="spellEnd"/>
      <w:r>
        <w:t xml:space="preserve"> se </w:t>
      </w:r>
      <w:proofErr w:type="spellStart"/>
      <w:r>
        <w:t>ofrecen</w:t>
      </w:r>
      <w:proofErr w:type="spellEnd"/>
      <w:r>
        <w:t xml:space="preserve"> </w:t>
      </w:r>
      <w:proofErr w:type="spellStart"/>
      <w:r>
        <w:t>ejemplos</w:t>
      </w:r>
      <w:proofErr w:type="spellEnd"/>
      <w:r>
        <w:t xml:space="preserve"> de </w:t>
      </w:r>
      <w:proofErr w:type="spellStart"/>
      <w:r>
        <w:t>acciones</w:t>
      </w:r>
      <w:proofErr w:type="spellEnd"/>
      <w:r>
        <w:t xml:space="preserve"> de </w:t>
      </w:r>
      <w:proofErr w:type="spellStart"/>
      <w:r>
        <w:t>preparación</w:t>
      </w:r>
      <w:proofErr w:type="spellEnd"/>
      <w:r>
        <w:t xml:space="preserve">, </w:t>
      </w:r>
      <w:proofErr w:type="spellStart"/>
      <w:r>
        <w:t>prevención</w:t>
      </w:r>
      <w:proofErr w:type="spellEnd"/>
      <w:r>
        <w:t xml:space="preserve"> y </w:t>
      </w:r>
      <w:proofErr w:type="spellStart"/>
      <w:r>
        <w:t>respuesta</w:t>
      </w:r>
      <w:proofErr w:type="spellEnd"/>
      <w:r>
        <w:t xml:space="preserve">. </w:t>
      </w:r>
    </w:p>
    <w:p w14:paraId="5F82E674" w14:textId="5E9D4F96" w:rsidR="00AE16C9" w:rsidRPr="007552EB" w:rsidRDefault="007552EB" w:rsidP="007552EB">
      <w:pPr>
        <w:pStyle w:val="NormalTextBulletsLevel1"/>
      </w:pPr>
      <w:r>
        <w:t xml:space="preserve">Las </w:t>
      </w:r>
      <w:proofErr w:type="spellStart"/>
      <w:r>
        <w:t>estrategias</w:t>
      </w:r>
      <w:proofErr w:type="spellEnd"/>
      <w:r>
        <w:t xml:space="preserve"> </w:t>
      </w:r>
      <w:proofErr w:type="spellStart"/>
      <w:r>
        <w:t>incluidas</w:t>
      </w:r>
      <w:proofErr w:type="spellEnd"/>
      <w:r>
        <w:t xml:space="preserve"> </w:t>
      </w:r>
      <w:proofErr w:type="spellStart"/>
      <w:r>
        <w:t>en</w:t>
      </w:r>
      <w:proofErr w:type="spellEnd"/>
      <w:r>
        <w:t xml:space="preserve"> las NMPNA son: </w:t>
      </w:r>
      <w:r w:rsidR="00AE16C9" w:rsidRPr="007552EB">
        <w:rPr>
          <w:highlight w:val="white"/>
        </w:rPr>
        <w:t xml:space="preserve"> </w:t>
      </w:r>
    </w:p>
    <w:p w14:paraId="0C1B1AEA" w14:textId="77777777" w:rsidR="007F26D6" w:rsidRDefault="007F26D6" w:rsidP="007F26D6">
      <w:pPr>
        <w:pStyle w:val="NormalTextBulletsLevel2"/>
      </w:pPr>
      <w:r>
        <w:t xml:space="preserve">Norma 15 - </w:t>
      </w:r>
      <w:proofErr w:type="spellStart"/>
      <w:r>
        <w:t>Actividades</w:t>
      </w:r>
      <w:proofErr w:type="spellEnd"/>
      <w:r>
        <w:t xml:space="preserve"> </w:t>
      </w:r>
      <w:proofErr w:type="spellStart"/>
      <w:r>
        <w:t>grupales</w:t>
      </w:r>
      <w:proofErr w:type="spellEnd"/>
      <w:r>
        <w:t xml:space="preserve"> para </w:t>
      </w:r>
      <w:proofErr w:type="spellStart"/>
      <w:r>
        <w:t>el</w:t>
      </w:r>
      <w:proofErr w:type="spellEnd"/>
      <w:r>
        <w:t xml:space="preserve"> </w:t>
      </w:r>
      <w:proofErr w:type="spellStart"/>
      <w:r>
        <w:t>bienestar</w:t>
      </w:r>
      <w:proofErr w:type="spellEnd"/>
      <w:r>
        <w:t xml:space="preserve"> del </w:t>
      </w:r>
      <w:proofErr w:type="spellStart"/>
      <w:r>
        <w:t>niño</w:t>
      </w:r>
      <w:proofErr w:type="spellEnd"/>
      <w:r>
        <w:t xml:space="preserve"> y de la </w:t>
      </w:r>
      <w:proofErr w:type="spellStart"/>
      <w:r>
        <w:t>niña</w:t>
      </w:r>
      <w:proofErr w:type="spellEnd"/>
      <w:r>
        <w:t xml:space="preserve">: La </w:t>
      </w:r>
      <w:proofErr w:type="spellStart"/>
      <w:r>
        <w:t>participación</w:t>
      </w:r>
      <w:proofErr w:type="spellEnd"/>
      <w:r>
        <w:t xml:space="preserve"> regular y </w:t>
      </w:r>
      <w:proofErr w:type="spellStart"/>
      <w:r>
        <w:t>constante</w:t>
      </w:r>
      <w:proofErr w:type="spellEnd"/>
      <w:r>
        <w:t xml:space="preserve"> de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w:t>
      </w:r>
      <w:proofErr w:type="spellStart"/>
      <w:r>
        <w:t>en</w:t>
      </w:r>
      <w:proofErr w:type="spellEnd"/>
      <w:r>
        <w:t xml:space="preserve"> </w:t>
      </w:r>
      <w:proofErr w:type="spellStart"/>
      <w:r>
        <w:t>actividades</w:t>
      </w:r>
      <w:proofErr w:type="spellEnd"/>
      <w:r>
        <w:t xml:space="preserve"> de </w:t>
      </w:r>
      <w:proofErr w:type="spellStart"/>
      <w:r>
        <w:t>grupo</w:t>
      </w:r>
      <w:proofErr w:type="spellEnd"/>
      <w:r>
        <w:t xml:space="preserve"> </w:t>
      </w:r>
      <w:proofErr w:type="spellStart"/>
      <w:r>
        <w:t>puede</w:t>
      </w:r>
      <w:proofErr w:type="spellEnd"/>
      <w:r>
        <w:t xml:space="preserve"> </w:t>
      </w:r>
      <w:proofErr w:type="spellStart"/>
      <w:r>
        <w:t>repercutir</w:t>
      </w:r>
      <w:proofErr w:type="spellEnd"/>
      <w:r>
        <w:t xml:space="preserve"> </w:t>
      </w:r>
      <w:proofErr w:type="spellStart"/>
      <w:r>
        <w:t>positivamente</w:t>
      </w:r>
      <w:proofErr w:type="spellEnd"/>
      <w:r>
        <w:t xml:space="preserve"> </w:t>
      </w:r>
      <w:proofErr w:type="spellStart"/>
      <w:r>
        <w:t>en</w:t>
      </w:r>
      <w:proofErr w:type="spellEnd"/>
      <w:r>
        <w:t xml:space="preserve"> </w:t>
      </w:r>
      <w:proofErr w:type="spellStart"/>
      <w:r>
        <w:t>su</w:t>
      </w:r>
      <w:proofErr w:type="spellEnd"/>
      <w:r>
        <w:t xml:space="preserve"> </w:t>
      </w:r>
      <w:proofErr w:type="spellStart"/>
      <w:r>
        <w:t>bienestar</w:t>
      </w:r>
      <w:proofErr w:type="spellEnd"/>
      <w:r>
        <w:t xml:space="preserve">, </w:t>
      </w:r>
      <w:proofErr w:type="spellStart"/>
      <w:r>
        <w:t>aumentar</w:t>
      </w:r>
      <w:proofErr w:type="spellEnd"/>
      <w:r>
        <w:t xml:space="preserve"> </w:t>
      </w:r>
      <w:proofErr w:type="spellStart"/>
      <w:r>
        <w:t>su</w:t>
      </w:r>
      <w:proofErr w:type="spellEnd"/>
      <w:r>
        <w:t xml:space="preserve"> </w:t>
      </w:r>
      <w:proofErr w:type="spellStart"/>
      <w:r>
        <w:t>resiliencia</w:t>
      </w:r>
      <w:proofErr w:type="spellEnd"/>
      <w:r>
        <w:t xml:space="preserve"> y </w:t>
      </w:r>
      <w:proofErr w:type="spellStart"/>
      <w:r>
        <w:t>reducir</w:t>
      </w:r>
      <w:proofErr w:type="spellEnd"/>
      <w:r>
        <w:t xml:space="preserve"> </w:t>
      </w:r>
      <w:proofErr w:type="spellStart"/>
      <w:r>
        <w:t>su</w:t>
      </w:r>
      <w:proofErr w:type="spellEnd"/>
      <w:r>
        <w:t xml:space="preserve"> </w:t>
      </w:r>
      <w:proofErr w:type="spellStart"/>
      <w:r>
        <w:t>estrés</w:t>
      </w:r>
      <w:proofErr w:type="spellEnd"/>
      <w:r>
        <w:t xml:space="preserve">. Las </w:t>
      </w:r>
      <w:proofErr w:type="spellStart"/>
      <w:r>
        <w:t>actividades</w:t>
      </w:r>
      <w:proofErr w:type="spellEnd"/>
      <w:r>
        <w:t xml:space="preserve"> </w:t>
      </w:r>
      <w:proofErr w:type="spellStart"/>
      <w:r>
        <w:t>en</w:t>
      </w:r>
      <w:proofErr w:type="spellEnd"/>
      <w:r>
        <w:t xml:space="preserve"> </w:t>
      </w:r>
      <w:proofErr w:type="spellStart"/>
      <w:r>
        <w:t>grupo</w:t>
      </w:r>
      <w:proofErr w:type="spellEnd"/>
      <w:r>
        <w:t xml:space="preserve"> </w:t>
      </w:r>
      <w:proofErr w:type="spellStart"/>
      <w:r>
        <w:t>ofrecen</w:t>
      </w:r>
      <w:proofErr w:type="spellEnd"/>
      <w:r>
        <w:t xml:space="preserve"> a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la </w:t>
      </w:r>
      <w:proofErr w:type="spellStart"/>
      <w:r>
        <w:t>oportunidad</w:t>
      </w:r>
      <w:proofErr w:type="spellEnd"/>
      <w:r>
        <w:t xml:space="preserve"> de </w:t>
      </w:r>
      <w:proofErr w:type="spellStart"/>
      <w:r>
        <w:t>reunirse</w:t>
      </w:r>
      <w:proofErr w:type="spellEnd"/>
      <w:r>
        <w:t xml:space="preserve"> </w:t>
      </w:r>
      <w:proofErr w:type="spellStart"/>
      <w:r>
        <w:t>en</w:t>
      </w:r>
      <w:proofErr w:type="spellEnd"/>
      <w:r>
        <w:t xml:space="preserve"> un </w:t>
      </w:r>
      <w:proofErr w:type="spellStart"/>
      <w:r>
        <w:t>entorno</w:t>
      </w:r>
      <w:proofErr w:type="spellEnd"/>
      <w:r>
        <w:t xml:space="preserve"> previsible y </w:t>
      </w:r>
      <w:proofErr w:type="spellStart"/>
      <w:r>
        <w:t>estimulante</w:t>
      </w:r>
      <w:proofErr w:type="spellEnd"/>
      <w:r>
        <w:t xml:space="preserve"> para </w:t>
      </w:r>
      <w:proofErr w:type="spellStart"/>
      <w:r>
        <w:t>estar</w:t>
      </w:r>
      <w:proofErr w:type="spellEnd"/>
      <w:r>
        <w:t xml:space="preserve"> </w:t>
      </w:r>
      <w:proofErr w:type="spellStart"/>
      <w:r>
        <w:t>seguros</w:t>
      </w:r>
      <w:proofErr w:type="spellEnd"/>
      <w:r>
        <w:t xml:space="preserve">, </w:t>
      </w:r>
      <w:proofErr w:type="spellStart"/>
      <w:r>
        <w:t>aprender</w:t>
      </w:r>
      <w:proofErr w:type="spellEnd"/>
      <w:r>
        <w:t xml:space="preserve">, </w:t>
      </w:r>
      <w:proofErr w:type="spellStart"/>
      <w:r>
        <w:t>expresarse</w:t>
      </w:r>
      <w:proofErr w:type="spellEnd"/>
      <w:r>
        <w:t xml:space="preserve">, </w:t>
      </w:r>
      <w:proofErr w:type="spellStart"/>
      <w:r>
        <w:t>establecer</w:t>
      </w:r>
      <w:proofErr w:type="spellEnd"/>
      <w:r>
        <w:t xml:space="preserve"> </w:t>
      </w:r>
      <w:proofErr w:type="spellStart"/>
      <w:r>
        <w:t>vínculos</w:t>
      </w:r>
      <w:proofErr w:type="spellEnd"/>
      <w:r>
        <w:t xml:space="preserve"> y </w:t>
      </w:r>
      <w:proofErr w:type="spellStart"/>
      <w:r>
        <w:t>sentirse</w:t>
      </w:r>
      <w:proofErr w:type="spellEnd"/>
      <w:r>
        <w:t xml:space="preserve"> </w:t>
      </w:r>
      <w:proofErr w:type="spellStart"/>
      <w:r>
        <w:t>apoyados</w:t>
      </w:r>
      <w:proofErr w:type="spellEnd"/>
      <w:r>
        <w:t xml:space="preserve">. </w:t>
      </w:r>
      <w:proofErr w:type="spellStart"/>
      <w:r>
        <w:t>Estas</w:t>
      </w:r>
      <w:proofErr w:type="spellEnd"/>
      <w:r>
        <w:t xml:space="preserve"> </w:t>
      </w:r>
      <w:proofErr w:type="spellStart"/>
      <w:r>
        <w:t>actividades</w:t>
      </w:r>
      <w:proofErr w:type="spellEnd"/>
      <w:r>
        <w:t xml:space="preserve"> </w:t>
      </w:r>
      <w:proofErr w:type="spellStart"/>
      <w:r>
        <w:t>también</w:t>
      </w:r>
      <w:proofErr w:type="spellEnd"/>
      <w:r>
        <w:t xml:space="preserve"> </w:t>
      </w:r>
      <w:proofErr w:type="spellStart"/>
      <w:r>
        <w:t>pueden</w:t>
      </w:r>
      <w:proofErr w:type="spellEnd"/>
      <w:r>
        <w:t xml:space="preserve"> </w:t>
      </w:r>
      <w:proofErr w:type="spellStart"/>
      <w:r>
        <w:t>promover</w:t>
      </w:r>
      <w:proofErr w:type="spellEnd"/>
      <w:r>
        <w:t xml:space="preserve"> la </w:t>
      </w:r>
      <w:proofErr w:type="spellStart"/>
      <w:r>
        <w:t>protección</w:t>
      </w:r>
      <w:proofErr w:type="spellEnd"/>
      <w:r>
        <w:t xml:space="preserve">: a) </w:t>
      </w:r>
      <w:proofErr w:type="spellStart"/>
      <w:r>
        <w:t>identificando</w:t>
      </w:r>
      <w:proofErr w:type="spellEnd"/>
      <w:r>
        <w:t xml:space="preserve"> a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w:t>
      </w:r>
      <w:proofErr w:type="spellStart"/>
      <w:r>
        <w:t>vulnerables</w:t>
      </w:r>
      <w:proofErr w:type="spellEnd"/>
      <w:r>
        <w:t xml:space="preserve"> o que </w:t>
      </w:r>
      <w:proofErr w:type="spellStart"/>
      <w:r>
        <w:t>sufren</w:t>
      </w:r>
      <w:proofErr w:type="spellEnd"/>
      <w:r>
        <w:t xml:space="preserve"> </w:t>
      </w:r>
      <w:proofErr w:type="spellStart"/>
      <w:r>
        <w:t>abusos</w:t>
      </w:r>
      <w:proofErr w:type="spellEnd"/>
      <w:r>
        <w:t xml:space="preserve">, </w:t>
      </w:r>
      <w:proofErr w:type="spellStart"/>
      <w:r>
        <w:t>negligencia</w:t>
      </w:r>
      <w:proofErr w:type="spellEnd"/>
      <w:r>
        <w:t xml:space="preserve">, </w:t>
      </w:r>
      <w:proofErr w:type="spellStart"/>
      <w:r>
        <w:t>explotación</w:t>
      </w:r>
      <w:proofErr w:type="spellEnd"/>
      <w:r>
        <w:t xml:space="preserve"> o </w:t>
      </w:r>
      <w:proofErr w:type="spellStart"/>
      <w:r>
        <w:t>violencia</w:t>
      </w:r>
      <w:proofErr w:type="spellEnd"/>
      <w:r>
        <w:t xml:space="preserve">, y b) </w:t>
      </w:r>
      <w:proofErr w:type="spellStart"/>
      <w:r>
        <w:t>apoyando</w:t>
      </w:r>
      <w:proofErr w:type="spellEnd"/>
      <w:r>
        <w:t xml:space="preserve"> las </w:t>
      </w:r>
      <w:proofErr w:type="spellStart"/>
      <w:r>
        <w:t>derivaciones</w:t>
      </w:r>
      <w:proofErr w:type="spellEnd"/>
      <w:r>
        <w:t xml:space="preserve"> </w:t>
      </w:r>
      <w:proofErr w:type="spellStart"/>
      <w:r>
        <w:t>adecuadas</w:t>
      </w:r>
      <w:proofErr w:type="spellEnd"/>
      <w:r>
        <w:t xml:space="preserve">. Las </w:t>
      </w:r>
      <w:proofErr w:type="spellStart"/>
      <w:r>
        <w:t>actividades</w:t>
      </w:r>
      <w:proofErr w:type="spellEnd"/>
      <w:r>
        <w:t xml:space="preserve"> de </w:t>
      </w:r>
      <w:proofErr w:type="spellStart"/>
      <w:r>
        <w:t>grupo</w:t>
      </w:r>
      <w:proofErr w:type="spellEnd"/>
      <w:r>
        <w:t xml:space="preserve"> </w:t>
      </w:r>
      <w:proofErr w:type="spellStart"/>
      <w:r>
        <w:t>pueden</w:t>
      </w:r>
      <w:proofErr w:type="spellEnd"/>
      <w:r>
        <w:t xml:space="preserve"> </w:t>
      </w:r>
      <w:proofErr w:type="spellStart"/>
      <w:r>
        <w:t>proporcionar</w:t>
      </w:r>
      <w:proofErr w:type="spellEnd"/>
      <w:r>
        <w:t xml:space="preserve"> </w:t>
      </w:r>
      <w:proofErr w:type="spellStart"/>
      <w:r>
        <w:t>una</w:t>
      </w:r>
      <w:proofErr w:type="spellEnd"/>
      <w:r>
        <w:t xml:space="preserve"> </w:t>
      </w:r>
      <w:proofErr w:type="spellStart"/>
      <w:r>
        <w:t>sensación</w:t>
      </w:r>
      <w:proofErr w:type="spellEnd"/>
      <w:r>
        <w:t xml:space="preserve"> de </w:t>
      </w:r>
      <w:proofErr w:type="spellStart"/>
      <w:r>
        <w:t>normalidad</w:t>
      </w:r>
      <w:proofErr w:type="spellEnd"/>
      <w:r>
        <w:t xml:space="preserve">. </w:t>
      </w:r>
    </w:p>
    <w:p w14:paraId="06E4301E" w14:textId="77777777" w:rsidR="007F26D6" w:rsidRDefault="007F26D6" w:rsidP="007F26D6">
      <w:pPr>
        <w:pStyle w:val="NormalTextBulletsLevel2"/>
      </w:pPr>
      <w:r>
        <w:t xml:space="preserve">Norma 16 - </w:t>
      </w:r>
      <w:proofErr w:type="spellStart"/>
      <w:r>
        <w:t>Fortalecimiento</w:t>
      </w:r>
      <w:proofErr w:type="spellEnd"/>
      <w:r>
        <w:t xml:space="preserve"> de </w:t>
      </w:r>
      <w:proofErr w:type="spellStart"/>
      <w:r>
        <w:t>entornos</w:t>
      </w:r>
      <w:proofErr w:type="spellEnd"/>
      <w:r>
        <w:t xml:space="preserve"> </w:t>
      </w:r>
      <w:proofErr w:type="spellStart"/>
      <w:r>
        <w:t>familiares</w:t>
      </w:r>
      <w:proofErr w:type="spellEnd"/>
      <w:r>
        <w:t xml:space="preserve"> y </w:t>
      </w:r>
      <w:proofErr w:type="spellStart"/>
      <w:r>
        <w:t>cuidadores</w:t>
      </w:r>
      <w:proofErr w:type="spellEnd"/>
      <w:r>
        <w:t xml:space="preserve">: </w:t>
      </w:r>
      <w:proofErr w:type="spellStart"/>
      <w:r>
        <w:t>el</w:t>
      </w:r>
      <w:proofErr w:type="spellEnd"/>
      <w:r>
        <w:t xml:space="preserve"> </w:t>
      </w:r>
      <w:proofErr w:type="spellStart"/>
      <w:r>
        <w:t>fortalecimiento</w:t>
      </w:r>
      <w:proofErr w:type="spellEnd"/>
      <w:r>
        <w:t xml:space="preserve"> del </w:t>
      </w:r>
      <w:proofErr w:type="spellStart"/>
      <w:r>
        <w:t>entorno</w:t>
      </w:r>
      <w:proofErr w:type="spellEnd"/>
      <w:r>
        <w:t xml:space="preserve"> familiar y de </w:t>
      </w:r>
      <w:proofErr w:type="spellStart"/>
      <w:r>
        <w:t>los</w:t>
      </w:r>
      <w:proofErr w:type="spellEnd"/>
      <w:r>
        <w:t xml:space="preserve"> </w:t>
      </w:r>
      <w:proofErr w:type="spellStart"/>
      <w:r>
        <w:t>cuidadores</w:t>
      </w:r>
      <w:proofErr w:type="spellEnd"/>
      <w:r>
        <w:t xml:space="preserve"> es </w:t>
      </w:r>
      <w:proofErr w:type="spellStart"/>
      <w:r>
        <w:t>una</w:t>
      </w:r>
      <w:proofErr w:type="spellEnd"/>
      <w:r>
        <w:t xml:space="preserve"> </w:t>
      </w:r>
      <w:proofErr w:type="spellStart"/>
      <w:r>
        <w:t>parte</w:t>
      </w:r>
      <w:proofErr w:type="spellEnd"/>
      <w:r>
        <w:t xml:space="preserve"> </w:t>
      </w:r>
      <w:proofErr w:type="spellStart"/>
      <w:r>
        <w:t>importante</w:t>
      </w:r>
      <w:proofErr w:type="spellEnd"/>
      <w:r>
        <w:t xml:space="preserve"> de la </w:t>
      </w:r>
      <w:proofErr w:type="spellStart"/>
      <w:r>
        <w:t>creación</w:t>
      </w:r>
      <w:proofErr w:type="spellEnd"/>
      <w:r>
        <w:t xml:space="preserve"> de </w:t>
      </w:r>
      <w:proofErr w:type="spellStart"/>
      <w:r>
        <w:t>sistemas</w:t>
      </w:r>
      <w:proofErr w:type="spellEnd"/>
      <w:r>
        <w:t xml:space="preserve"> </w:t>
      </w:r>
      <w:proofErr w:type="spellStart"/>
      <w:r>
        <w:t>eficaces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Un </w:t>
      </w:r>
      <w:proofErr w:type="spellStart"/>
      <w:r>
        <w:t>enfoque</w:t>
      </w:r>
      <w:proofErr w:type="spellEnd"/>
      <w:r>
        <w:t xml:space="preserve"> de </w:t>
      </w:r>
      <w:proofErr w:type="spellStart"/>
      <w:r>
        <w:t>fortalecimiento</w:t>
      </w:r>
      <w:proofErr w:type="spellEnd"/>
      <w:r>
        <w:t xml:space="preserve"> </w:t>
      </w:r>
      <w:proofErr w:type="spellStart"/>
      <w:r>
        <w:t>reconoce</w:t>
      </w:r>
      <w:proofErr w:type="spellEnd"/>
      <w:r>
        <w:t xml:space="preserve"> y </w:t>
      </w:r>
      <w:proofErr w:type="spellStart"/>
      <w:r>
        <w:t>aprovecha</w:t>
      </w:r>
      <w:proofErr w:type="spellEnd"/>
      <w:r>
        <w:t xml:space="preserve"> </w:t>
      </w:r>
      <w:proofErr w:type="spellStart"/>
      <w:r>
        <w:t>los</w:t>
      </w:r>
      <w:proofErr w:type="spellEnd"/>
      <w:r>
        <w:t xml:space="preserve"> puntos </w:t>
      </w:r>
      <w:proofErr w:type="spellStart"/>
      <w:r>
        <w:t>fuertes</w:t>
      </w:r>
      <w:proofErr w:type="spellEnd"/>
      <w:r>
        <w:t xml:space="preserve"> </w:t>
      </w:r>
      <w:proofErr w:type="spellStart"/>
      <w:r>
        <w:t>existentes</w:t>
      </w:r>
      <w:proofErr w:type="spellEnd"/>
      <w:r>
        <w:t xml:space="preserve"> </w:t>
      </w:r>
      <w:proofErr w:type="spellStart"/>
      <w:r>
        <w:t>en</w:t>
      </w:r>
      <w:proofErr w:type="spellEnd"/>
      <w:r>
        <w:t xml:space="preserve"> las </w:t>
      </w:r>
      <w:proofErr w:type="spellStart"/>
      <w:r>
        <w:t>familias</w:t>
      </w:r>
      <w:proofErr w:type="spellEnd"/>
      <w:r>
        <w:t xml:space="preserve">. </w:t>
      </w:r>
      <w:proofErr w:type="spellStart"/>
      <w:r>
        <w:t>Reconoce</w:t>
      </w:r>
      <w:proofErr w:type="spellEnd"/>
      <w:r>
        <w:t xml:space="preserve"> que </w:t>
      </w:r>
      <w:proofErr w:type="spellStart"/>
      <w:r>
        <w:t>si</w:t>
      </w:r>
      <w:proofErr w:type="spellEnd"/>
      <w:r>
        <w:t xml:space="preserve"> </w:t>
      </w:r>
      <w:proofErr w:type="spellStart"/>
      <w:r>
        <w:t>garantizamos</w:t>
      </w:r>
      <w:proofErr w:type="spellEnd"/>
      <w:r>
        <w:t xml:space="preserve"> que </w:t>
      </w:r>
      <w:proofErr w:type="spellStart"/>
      <w:r>
        <w:t>todas</w:t>
      </w:r>
      <w:proofErr w:type="spellEnd"/>
      <w:r>
        <w:t xml:space="preserve"> las </w:t>
      </w:r>
      <w:proofErr w:type="spellStart"/>
      <w:r>
        <w:t>familias</w:t>
      </w:r>
      <w:proofErr w:type="spellEnd"/>
      <w:r>
        <w:t xml:space="preserve"> </w:t>
      </w:r>
      <w:proofErr w:type="spellStart"/>
      <w:r>
        <w:t>tengan</w:t>
      </w:r>
      <w:proofErr w:type="spellEnd"/>
      <w:r>
        <w:t xml:space="preserve"> </w:t>
      </w:r>
      <w:proofErr w:type="spellStart"/>
      <w:r>
        <w:t>acceso</w:t>
      </w:r>
      <w:proofErr w:type="spellEnd"/>
      <w:r>
        <w:t xml:space="preserve"> a </w:t>
      </w:r>
      <w:proofErr w:type="spellStart"/>
      <w:r>
        <w:t>los</w:t>
      </w:r>
      <w:proofErr w:type="spellEnd"/>
      <w:r>
        <w:t xml:space="preserve"> </w:t>
      </w:r>
      <w:proofErr w:type="spellStart"/>
      <w:r>
        <w:t>servicios</w:t>
      </w:r>
      <w:proofErr w:type="spellEnd"/>
      <w:r>
        <w:t xml:space="preserve"> y </w:t>
      </w:r>
      <w:proofErr w:type="spellStart"/>
      <w:r>
        <w:t>apoyos</w:t>
      </w:r>
      <w:proofErr w:type="spellEnd"/>
      <w:r>
        <w:t xml:space="preserve"> que </w:t>
      </w:r>
      <w:proofErr w:type="spellStart"/>
      <w:r>
        <w:t>necesitan</w:t>
      </w:r>
      <w:proofErr w:type="spellEnd"/>
      <w:r>
        <w:t xml:space="preserve">, y </w:t>
      </w:r>
      <w:proofErr w:type="spellStart"/>
      <w:r>
        <w:t>ayudamos</w:t>
      </w:r>
      <w:proofErr w:type="spellEnd"/>
      <w:r>
        <w:t xml:space="preserve"> a </w:t>
      </w:r>
      <w:proofErr w:type="spellStart"/>
      <w:r>
        <w:t>los</w:t>
      </w:r>
      <w:proofErr w:type="spellEnd"/>
      <w:r>
        <w:t xml:space="preserve"> </w:t>
      </w:r>
      <w:proofErr w:type="spellStart"/>
      <w:r>
        <w:t>cuidadores</w:t>
      </w:r>
      <w:proofErr w:type="spellEnd"/>
      <w:r>
        <w:t xml:space="preserve"> a </w:t>
      </w:r>
      <w:proofErr w:type="spellStart"/>
      <w:r>
        <w:t>desarrollar</w:t>
      </w:r>
      <w:proofErr w:type="spellEnd"/>
      <w:r>
        <w:t xml:space="preserve"> </w:t>
      </w:r>
      <w:proofErr w:type="spellStart"/>
      <w:r>
        <w:t>estrategias</w:t>
      </w:r>
      <w:proofErr w:type="spellEnd"/>
      <w:r>
        <w:t xml:space="preserve"> </w:t>
      </w:r>
      <w:proofErr w:type="spellStart"/>
      <w:r>
        <w:t>positivas</w:t>
      </w:r>
      <w:proofErr w:type="spellEnd"/>
      <w:r>
        <w:t xml:space="preserve"> de </w:t>
      </w:r>
      <w:proofErr w:type="spellStart"/>
      <w:r>
        <w:t>afrontamiento</w:t>
      </w:r>
      <w:proofErr w:type="spellEnd"/>
      <w:r>
        <w:t xml:space="preserve"> y </w:t>
      </w:r>
      <w:proofErr w:type="spellStart"/>
      <w:r>
        <w:t>habilidades</w:t>
      </w:r>
      <w:proofErr w:type="spellEnd"/>
      <w:r>
        <w:t xml:space="preserve"> </w:t>
      </w:r>
      <w:proofErr w:type="spellStart"/>
      <w:r>
        <w:t>parentales</w:t>
      </w:r>
      <w:proofErr w:type="spellEnd"/>
      <w:r>
        <w:t xml:space="preserve">, </w:t>
      </w:r>
      <w:proofErr w:type="spellStart"/>
      <w:r>
        <w:t>también</w:t>
      </w:r>
      <w:proofErr w:type="spellEnd"/>
      <w:r>
        <w:t xml:space="preserve"> </w:t>
      </w:r>
      <w:proofErr w:type="spellStart"/>
      <w:r>
        <w:t>contribuimos</w:t>
      </w:r>
      <w:proofErr w:type="spellEnd"/>
      <w:r>
        <w:t xml:space="preserve"> a </w:t>
      </w:r>
      <w:proofErr w:type="spellStart"/>
      <w:r>
        <w:t>reducir</w:t>
      </w:r>
      <w:proofErr w:type="spellEnd"/>
      <w:r>
        <w:t xml:space="preserve"> </w:t>
      </w:r>
      <w:proofErr w:type="spellStart"/>
      <w:r>
        <w:t>el</w:t>
      </w:r>
      <w:proofErr w:type="spellEnd"/>
      <w:r>
        <w:t xml:space="preserve"> </w:t>
      </w:r>
      <w:proofErr w:type="spellStart"/>
      <w:r>
        <w:t>riesgo</w:t>
      </w:r>
      <w:proofErr w:type="spellEnd"/>
      <w:r>
        <w:t xml:space="preserve"> de </w:t>
      </w:r>
      <w:proofErr w:type="spellStart"/>
      <w:r>
        <w:t>negligencia</w:t>
      </w:r>
      <w:proofErr w:type="spellEnd"/>
      <w:r>
        <w:t xml:space="preserve">, </w:t>
      </w:r>
      <w:proofErr w:type="spellStart"/>
      <w:r>
        <w:t>violencia</w:t>
      </w:r>
      <w:proofErr w:type="spellEnd"/>
      <w:r>
        <w:t xml:space="preserve"> y </w:t>
      </w:r>
      <w:proofErr w:type="spellStart"/>
      <w:r>
        <w:t>abuso</w:t>
      </w:r>
      <w:proofErr w:type="spellEnd"/>
      <w:r>
        <w:t xml:space="preserve"> </w:t>
      </w:r>
      <w:proofErr w:type="spellStart"/>
      <w:r>
        <w:t>infantil</w:t>
      </w:r>
      <w:proofErr w:type="spellEnd"/>
      <w:r>
        <w:t xml:space="preserve">. </w:t>
      </w:r>
    </w:p>
    <w:p w14:paraId="7B16AFB5" w14:textId="77777777" w:rsidR="007F26D6" w:rsidRDefault="007F26D6" w:rsidP="007F26D6">
      <w:pPr>
        <w:pStyle w:val="NormalTextBulletsLevel2"/>
      </w:pPr>
      <w:r>
        <w:t xml:space="preserve">Norma 17 - </w:t>
      </w:r>
      <w:proofErr w:type="spellStart"/>
      <w:r>
        <w:t>Enfoque</w:t>
      </w:r>
      <w:proofErr w:type="spellEnd"/>
      <w:r>
        <w:t xml:space="preserve"> a </w:t>
      </w:r>
      <w:proofErr w:type="spellStart"/>
      <w:r>
        <w:t>nivel</w:t>
      </w:r>
      <w:proofErr w:type="spellEnd"/>
      <w:r>
        <w:t xml:space="preserve"> </w:t>
      </w:r>
      <w:proofErr w:type="spellStart"/>
      <w:r>
        <w:t>comunitario</w:t>
      </w:r>
      <w:proofErr w:type="spellEnd"/>
      <w:r>
        <w:t xml:space="preserve">: las </w:t>
      </w:r>
      <w:proofErr w:type="spellStart"/>
      <w:r>
        <w:t>comunidades</w:t>
      </w:r>
      <w:proofErr w:type="spellEnd"/>
      <w:r>
        <w:t xml:space="preserve"> </w:t>
      </w:r>
      <w:proofErr w:type="spellStart"/>
      <w:r>
        <w:t>desempeñan</w:t>
      </w:r>
      <w:proofErr w:type="spellEnd"/>
      <w:r>
        <w:t xml:space="preserve"> un </w:t>
      </w:r>
      <w:proofErr w:type="spellStart"/>
      <w:r>
        <w:t>papel</w:t>
      </w:r>
      <w:proofErr w:type="spellEnd"/>
      <w:r>
        <w:t xml:space="preserve"> </w:t>
      </w:r>
      <w:proofErr w:type="spellStart"/>
      <w:r>
        <w:t>importante</w:t>
      </w:r>
      <w:proofErr w:type="spellEnd"/>
      <w:r>
        <w:t xml:space="preserve"> </w:t>
      </w:r>
      <w:proofErr w:type="spellStart"/>
      <w:r>
        <w:t>en</w:t>
      </w:r>
      <w:proofErr w:type="spellEnd"/>
      <w:r>
        <w:t xml:space="preserve"> la </w:t>
      </w:r>
      <w:proofErr w:type="spellStart"/>
      <w:r>
        <w:t>prevención</w:t>
      </w:r>
      <w:proofErr w:type="spellEnd"/>
      <w:r>
        <w:t xml:space="preserve"> y la </w:t>
      </w:r>
      <w:proofErr w:type="spellStart"/>
      <w:r>
        <w:t>respuesta</w:t>
      </w:r>
      <w:proofErr w:type="spellEnd"/>
      <w:r>
        <w:t xml:space="preserve"> a </w:t>
      </w:r>
      <w:proofErr w:type="spellStart"/>
      <w:r>
        <w:t>los</w:t>
      </w:r>
      <w:proofErr w:type="spellEnd"/>
      <w:r>
        <w:t xml:space="preserve"> </w:t>
      </w:r>
      <w:proofErr w:type="spellStart"/>
      <w:r>
        <w:t>riesgos</w:t>
      </w:r>
      <w:proofErr w:type="spellEnd"/>
      <w:r>
        <w:t xml:space="preserve"> a </w:t>
      </w:r>
      <w:proofErr w:type="spellStart"/>
      <w:r>
        <w:t>los</w:t>
      </w:r>
      <w:proofErr w:type="spellEnd"/>
      <w:r>
        <w:t xml:space="preserve"> que se </w:t>
      </w:r>
      <w:proofErr w:type="spellStart"/>
      <w:r>
        <w:t>enfrentan</w:t>
      </w:r>
      <w:proofErr w:type="spellEnd"/>
      <w:r>
        <w:t xml:space="preserve">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Las </w:t>
      </w:r>
      <w:proofErr w:type="spellStart"/>
      <w:r>
        <w:t>comunidades</w:t>
      </w:r>
      <w:proofErr w:type="spellEnd"/>
      <w:r>
        <w:t xml:space="preserve"> se </w:t>
      </w:r>
      <w:proofErr w:type="spellStart"/>
      <w:r>
        <w:t>organizan</w:t>
      </w:r>
      <w:proofErr w:type="spellEnd"/>
      <w:r>
        <w:t xml:space="preserve"> de </w:t>
      </w:r>
      <w:proofErr w:type="spellStart"/>
      <w:r>
        <w:t>diversas</w:t>
      </w:r>
      <w:proofErr w:type="spellEnd"/>
      <w:r>
        <w:t xml:space="preserve"> </w:t>
      </w:r>
      <w:proofErr w:type="spellStart"/>
      <w:r>
        <w:t>maneras</w:t>
      </w:r>
      <w:proofErr w:type="spellEnd"/>
      <w:r>
        <w:t xml:space="preserve"> para </w:t>
      </w:r>
      <w:proofErr w:type="spellStart"/>
      <w:r>
        <w:t>proteger</w:t>
      </w:r>
      <w:proofErr w:type="spellEnd"/>
      <w:r>
        <w:t xml:space="preserve"> a </w:t>
      </w:r>
      <w:proofErr w:type="spellStart"/>
      <w:r>
        <w:t>los</w:t>
      </w:r>
      <w:proofErr w:type="spellEnd"/>
      <w:r>
        <w:t xml:space="preserve"> </w:t>
      </w:r>
      <w:proofErr w:type="spellStart"/>
      <w:r>
        <w:t>niños</w:t>
      </w:r>
      <w:proofErr w:type="spellEnd"/>
      <w:r>
        <w:t xml:space="preserve"> y </w:t>
      </w:r>
      <w:proofErr w:type="spellStart"/>
      <w:r>
        <w:t>niñas</w:t>
      </w:r>
      <w:proofErr w:type="spellEnd"/>
      <w:r>
        <w:t xml:space="preserve"> - </w:t>
      </w:r>
      <w:proofErr w:type="spellStart"/>
      <w:r>
        <w:t>incluidos</w:t>
      </w:r>
      <w:proofErr w:type="spellEnd"/>
      <w:r>
        <w:t xml:space="preserve"> </w:t>
      </w:r>
      <w:proofErr w:type="spellStart"/>
      <w:r>
        <w:t>los</w:t>
      </w:r>
      <w:proofErr w:type="spellEnd"/>
      <w:r>
        <w:t xml:space="preserve"> </w:t>
      </w:r>
      <w:proofErr w:type="spellStart"/>
      <w:r>
        <w:t>adolescentes</w:t>
      </w:r>
      <w:proofErr w:type="spellEnd"/>
      <w:r>
        <w:t xml:space="preserve"> - </w:t>
      </w:r>
      <w:proofErr w:type="spellStart"/>
      <w:r>
        <w:t>en</w:t>
      </w:r>
      <w:proofErr w:type="spellEnd"/>
      <w:r>
        <w:t xml:space="preserve"> </w:t>
      </w:r>
      <w:proofErr w:type="spellStart"/>
      <w:r>
        <w:t>situación</w:t>
      </w:r>
      <w:proofErr w:type="spellEnd"/>
      <w:r>
        <w:t xml:space="preserve"> de </w:t>
      </w:r>
      <w:proofErr w:type="spellStart"/>
      <w:r>
        <w:t>riesgo</w:t>
      </w:r>
      <w:proofErr w:type="spellEnd"/>
      <w:r>
        <w:t xml:space="preserve">. </w:t>
      </w:r>
    </w:p>
    <w:p w14:paraId="50F93EC1" w14:textId="4337984C" w:rsidR="007F26D6" w:rsidRDefault="007F26D6" w:rsidP="007F26D6">
      <w:pPr>
        <w:pStyle w:val="NormalTextBulletsLevel2"/>
      </w:pPr>
      <w:r>
        <w:t xml:space="preserve">Norma 18 - </w:t>
      </w:r>
      <w:proofErr w:type="spellStart"/>
      <w:r>
        <w:t>Gestión</w:t>
      </w:r>
      <w:proofErr w:type="spellEnd"/>
      <w:r>
        <w:t xml:space="preserve"> de </w:t>
      </w:r>
      <w:proofErr w:type="spellStart"/>
      <w:r>
        <w:t>casos</w:t>
      </w:r>
      <w:proofErr w:type="spellEnd"/>
      <w:r>
        <w:t xml:space="preserve">: La </w:t>
      </w:r>
      <w:proofErr w:type="spellStart"/>
      <w:r>
        <w:t>gestión</w:t>
      </w:r>
      <w:proofErr w:type="spellEnd"/>
      <w:r>
        <w:t xml:space="preserve"> de </w:t>
      </w:r>
      <w:proofErr w:type="spellStart"/>
      <w:r>
        <w:t>casos</w:t>
      </w:r>
      <w:proofErr w:type="spellEnd"/>
      <w:r>
        <w:t xml:space="preserve"> (GC) es un </w:t>
      </w:r>
      <w:proofErr w:type="spellStart"/>
      <w:r>
        <w:t>enfoque</w:t>
      </w:r>
      <w:proofErr w:type="spellEnd"/>
      <w:r>
        <w:t xml:space="preserve"> para </w:t>
      </w:r>
      <w:proofErr w:type="spellStart"/>
      <w:r>
        <w:t>abordar</w:t>
      </w:r>
      <w:proofErr w:type="spellEnd"/>
      <w:r>
        <w:t xml:space="preserve"> las </w:t>
      </w:r>
      <w:proofErr w:type="spellStart"/>
      <w:r>
        <w:t>necesidades</w:t>
      </w:r>
      <w:proofErr w:type="spellEnd"/>
      <w:r>
        <w:t xml:space="preserve"> de un </w:t>
      </w:r>
      <w:proofErr w:type="spellStart"/>
      <w:r>
        <w:t>niño</w:t>
      </w:r>
      <w:proofErr w:type="spellEnd"/>
      <w:r>
        <w:t xml:space="preserve"> individual que </w:t>
      </w:r>
      <w:proofErr w:type="spellStart"/>
      <w:r>
        <w:t>corre</w:t>
      </w:r>
      <w:proofErr w:type="spellEnd"/>
      <w:r>
        <w:t xml:space="preserve"> </w:t>
      </w:r>
      <w:proofErr w:type="spellStart"/>
      <w:r>
        <w:t>el</w:t>
      </w:r>
      <w:proofErr w:type="spellEnd"/>
      <w:r>
        <w:t xml:space="preserve"> </w:t>
      </w:r>
      <w:proofErr w:type="spellStart"/>
      <w:r>
        <w:t>riesgo</w:t>
      </w:r>
      <w:proofErr w:type="spellEnd"/>
      <w:r>
        <w:t xml:space="preserve"> de </w:t>
      </w:r>
      <w:proofErr w:type="spellStart"/>
      <w:r>
        <w:t>sufrir</w:t>
      </w:r>
      <w:proofErr w:type="spellEnd"/>
      <w:r>
        <w:t xml:space="preserve"> </w:t>
      </w:r>
      <w:proofErr w:type="spellStart"/>
      <w:r>
        <w:t>daños</w:t>
      </w:r>
      <w:proofErr w:type="spellEnd"/>
      <w:r>
        <w:t xml:space="preserve"> o que ha </w:t>
      </w:r>
      <w:proofErr w:type="spellStart"/>
      <w:r>
        <w:t>sufrido</w:t>
      </w:r>
      <w:proofErr w:type="spellEnd"/>
      <w:r>
        <w:t xml:space="preserve"> </w:t>
      </w:r>
      <w:proofErr w:type="spellStart"/>
      <w:r>
        <w:t>daños</w:t>
      </w:r>
      <w:proofErr w:type="spellEnd"/>
      <w:r>
        <w:t xml:space="preserve">. El </w:t>
      </w:r>
      <w:proofErr w:type="spellStart"/>
      <w:r>
        <w:t>niño</w:t>
      </w:r>
      <w:proofErr w:type="spellEnd"/>
      <w:r>
        <w:t xml:space="preserve">, la </w:t>
      </w:r>
      <w:proofErr w:type="spellStart"/>
      <w:r>
        <w:t>niña</w:t>
      </w:r>
      <w:proofErr w:type="spellEnd"/>
      <w:r>
        <w:t xml:space="preserve">, </w:t>
      </w:r>
      <w:proofErr w:type="spellStart"/>
      <w:r>
        <w:t>el</w:t>
      </w:r>
      <w:proofErr w:type="spellEnd"/>
      <w:r>
        <w:t xml:space="preserve"> </w:t>
      </w:r>
      <w:proofErr w:type="spellStart"/>
      <w:r>
        <w:t>adolescente</w:t>
      </w:r>
      <w:proofErr w:type="spellEnd"/>
      <w:r>
        <w:t xml:space="preserve"> y </w:t>
      </w:r>
      <w:proofErr w:type="spellStart"/>
      <w:r>
        <w:t>su</w:t>
      </w:r>
      <w:proofErr w:type="spellEnd"/>
      <w:r>
        <w:t xml:space="preserve"> </w:t>
      </w:r>
      <w:proofErr w:type="spellStart"/>
      <w:r>
        <w:t>familia</w:t>
      </w:r>
      <w:proofErr w:type="spellEnd"/>
      <w:r>
        <w:t xml:space="preserve"> </w:t>
      </w:r>
      <w:proofErr w:type="spellStart"/>
      <w:r>
        <w:t>reciben</w:t>
      </w:r>
      <w:proofErr w:type="spellEnd"/>
      <w:r>
        <w:t xml:space="preserve"> </w:t>
      </w:r>
      <w:proofErr w:type="spellStart"/>
      <w:r>
        <w:t>el</w:t>
      </w:r>
      <w:proofErr w:type="spellEnd"/>
      <w:r>
        <w:t xml:space="preserve"> </w:t>
      </w:r>
      <w:proofErr w:type="spellStart"/>
      <w:r>
        <w:t>apoyo</w:t>
      </w:r>
      <w:proofErr w:type="spellEnd"/>
      <w:r>
        <w:t xml:space="preserve"> de un </w:t>
      </w:r>
      <w:proofErr w:type="spellStart"/>
      <w:r>
        <w:t>asistente</w:t>
      </w:r>
      <w:proofErr w:type="spellEnd"/>
      <w:r>
        <w:t xml:space="preserve"> social de forma </w:t>
      </w:r>
      <w:proofErr w:type="spellStart"/>
      <w:r>
        <w:t>sistemática</w:t>
      </w:r>
      <w:proofErr w:type="spellEnd"/>
      <w:r>
        <w:t xml:space="preserve"> y </w:t>
      </w:r>
      <w:proofErr w:type="spellStart"/>
      <w:r>
        <w:t>oportuna</w:t>
      </w:r>
      <w:proofErr w:type="spellEnd"/>
      <w:r>
        <w:t xml:space="preserve"> a </w:t>
      </w:r>
      <w:proofErr w:type="spellStart"/>
      <w:r>
        <w:t>través</w:t>
      </w:r>
      <w:proofErr w:type="spellEnd"/>
      <w:r>
        <w:t xml:space="preserve"> de </w:t>
      </w:r>
      <w:proofErr w:type="spellStart"/>
      <w:r>
        <w:t>apoyo</w:t>
      </w:r>
      <w:proofErr w:type="spellEnd"/>
      <w:r>
        <w:t xml:space="preserve"> </w:t>
      </w:r>
      <w:proofErr w:type="spellStart"/>
      <w:r>
        <w:t>directo</w:t>
      </w:r>
      <w:proofErr w:type="spellEnd"/>
      <w:r>
        <w:t xml:space="preserve"> y </w:t>
      </w:r>
      <w:proofErr w:type="spellStart"/>
      <w:r>
        <w:t>derivaciones</w:t>
      </w:r>
      <w:proofErr w:type="spellEnd"/>
      <w:r>
        <w:t xml:space="preserve">. La </w:t>
      </w:r>
      <w:proofErr w:type="spellStart"/>
      <w:r>
        <w:t>gestión</w:t>
      </w:r>
      <w:proofErr w:type="spellEnd"/>
      <w:r>
        <w:t xml:space="preserve"> de </w:t>
      </w:r>
      <w:proofErr w:type="spellStart"/>
      <w:r>
        <w:t>casos</w:t>
      </w:r>
      <w:proofErr w:type="spellEnd"/>
      <w:r>
        <w:t xml:space="preserve"> </w:t>
      </w:r>
      <w:proofErr w:type="spellStart"/>
      <w:r>
        <w:t>proporciona</w:t>
      </w:r>
      <w:proofErr w:type="spellEnd"/>
      <w:r>
        <w:t xml:space="preserve"> un </w:t>
      </w:r>
      <w:proofErr w:type="spellStart"/>
      <w:r>
        <w:t>apoyo</w:t>
      </w:r>
      <w:proofErr w:type="spellEnd"/>
      <w:r>
        <w:t xml:space="preserve"> </w:t>
      </w:r>
      <w:proofErr w:type="spellStart"/>
      <w:r>
        <w:t>individualizado</w:t>
      </w:r>
      <w:proofErr w:type="spellEnd"/>
      <w:r>
        <w:t xml:space="preserve">, </w:t>
      </w:r>
      <w:proofErr w:type="spellStart"/>
      <w:r>
        <w:t>coordinado</w:t>
      </w:r>
      <w:proofErr w:type="spellEnd"/>
      <w:r>
        <w:t xml:space="preserve">, </w:t>
      </w:r>
      <w:proofErr w:type="spellStart"/>
      <w:r>
        <w:t>holístico</w:t>
      </w:r>
      <w:proofErr w:type="spellEnd"/>
      <w:r>
        <w:t xml:space="preserve"> y </w:t>
      </w:r>
      <w:proofErr w:type="spellStart"/>
      <w:r>
        <w:t>multisectorial</w:t>
      </w:r>
      <w:proofErr w:type="spellEnd"/>
      <w:r>
        <w:t xml:space="preserve"> a </w:t>
      </w:r>
      <w:proofErr w:type="spellStart"/>
      <w:r>
        <w:t>problemas</w:t>
      </w:r>
      <w:proofErr w:type="spellEnd"/>
      <w:r>
        <w:t xml:space="preserve"> </w:t>
      </w:r>
      <w:proofErr w:type="spellStart"/>
      <w:r>
        <w:t>complejos</w:t>
      </w:r>
      <w:proofErr w:type="spellEnd"/>
      <w:r>
        <w:t xml:space="preserve"> y a menudo </w:t>
      </w:r>
      <w:proofErr w:type="spellStart"/>
      <w:r>
        <w:t>relacionados</w:t>
      </w:r>
      <w:proofErr w:type="spellEnd"/>
      <w:r>
        <w:t xml:space="preserve"> con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04E94D3B" w14:textId="77777777" w:rsidR="007F26D6" w:rsidRDefault="007F26D6" w:rsidP="007F26D6">
      <w:pPr>
        <w:pStyle w:val="NormalTextBulletsLevel2"/>
      </w:pPr>
      <w:r>
        <w:t xml:space="preserve">Norma 19 - </w:t>
      </w:r>
      <w:proofErr w:type="spellStart"/>
      <w:r>
        <w:t>Cuidado</w:t>
      </w:r>
      <w:proofErr w:type="spellEnd"/>
      <w:r>
        <w:t xml:space="preserve"> alternativo: Todos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que </w:t>
      </w:r>
      <w:proofErr w:type="spellStart"/>
      <w:r>
        <w:t>carezcan</w:t>
      </w:r>
      <w:proofErr w:type="spellEnd"/>
      <w:r>
        <w:t xml:space="preserve"> de un </w:t>
      </w:r>
      <w:proofErr w:type="spellStart"/>
      <w:r>
        <w:t>cuidado</w:t>
      </w:r>
      <w:proofErr w:type="spellEnd"/>
      <w:r>
        <w:t xml:space="preserve"> </w:t>
      </w:r>
      <w:proofErr w:type="spellStart"/>
      <w:r>
        <w:t>adecuado</w:t>
      </w:r>
      <w:proofErr w:type="spellEnd"/>
      <w:r>
        <w:t xml:space="preserve"> y </w:t>
      </w:r>
      <w:proofErr w:type="spellStart"/>
      <w:r>
        <w:t>apropiado</w:t>
      </w:r>
      <w:proofErr w:type="spellEnd"/>
      <w:r>
        <w:t xml:space="preserve"> </w:t>
      </w:r>
      <w:proofErr w:type="spellStart"/>
      <w:r>
        <w:t>deberían</w:t>
      </w:r>
      <w:proofErr w:type="spellEnd"/>
      <w:r>
        <w:t xml:space="preserve"> </w:t>
      </w:r>
      <w:proofErr w:type="spellStart"/>
      <w:r>
        <w:t>recibir</w:t>
      </w:r>
      <w:proofErr w:type="spellEnd"/>
      <w:r>
        <w:t xml:space="preserve"> un </w:t>
      </w:r>
      <w:proofErr w:type="spellStart"/>
      <w:r>
        <w:t>cuidado</w:t>
      </w:r>
      <w:proofErr w:type="spellEnd"/>
      <w:r>
        <w:t xml:space="preserve"> alternativo </w:t>
      </w:r>
      <w:proofErr w:type="spellStart"/>
      <w:r>
        <w:t>en</w:t>
      </w:r>
      <w:proofErr w:type="spellEnd"/>
      <w:r>
        <w:t xml:space="preserve"> </w:t>
      </w:r>
      <w:proofErr w:type="spellStart"/>
      <w:r>
        <w:t>función</w:t>
      </w:r>
      <w:proofErr w:type="spellEnd"/>
      <w:r>
        <w:t xml:space="preserve"> de sus derechos, </w:t>
      </w:r>
      <w:proofErr w:type="spellStart"/>
      <w:r>
        <w:t>necesidades</w:t>
      </w:r>
      <w:proofErr w:type="spellEnd"/>
      <w:r>
        <w:t xml:space="preserve"> </w:t>
      </w:r>
      <w:proofErr w:type="spellStart"/>
      <w:r>
        <w:t>específicas</w:t>
      </w:r>
      <w:proofErr w:type="spellEnd"/>
      <w:r>
        <w:t xml:space="preserve">, </w:t>
      </w:r>
      <w:proofErr w:type="spellStart"/>
      <w:r>
        <w:t>deseos</w:t>
      </w:r>
      <w:proofErr w:type="spellEnd"/>
      <w:r>
        <w:t xml:space="preserve"> e </w:t>
      </w:r>
      <w:proofErr w:type="spellStart"/>
      <w:r>
        <w:t>interés</w:t>
      </w:r>
      <w:proofErr w:type="spellEnd"/>
      <w:r>
        <w:t xml:space="preserve"> superior, </w:t>
      </w:r>
      <w:proofErr w:type="spellStart"/>
      <w:r>
        <w:t>dando</w:t>
      </w:r>
      <w:proofErr w:type="spellEnd"/>
      <w:r>
        <w:t xml:space="preserve"> </w:t>
      </w:r>
      <w:proofErr w:type="spellStart"/>
      <w:r>
        <w:lastRenderedPageBreak/>
        <w:t>prioridad</w:t>
      </w:r>
      <w:proofErr w:type="spellEnd"/>
      <w:r>
        <w:t xml:space="preserve"> al </w:t>
      </w:r>
      <w:proofErr w:type="spellStart"/>
      <w:r>
        <w:t>cuidado</w:t>
      </w:r>
      <w:proofErr w:type="spellEnd"/>
      <w:r>
        <w:t xml:space="preserve"> familiar y a las </w:t>
      </w:r>
      <w:proofErr w:type="spellStart"/>
      <w:r>
        <w:t>modalidades</w:t>
      </w:r>
      <w:proofErr w:type="spellEnd"/>
      <w:r>
        <w:t xml:space="preserve"> de </w:t>
      </w:r>
      <w:proofErr w:type="spellStart"/>
      <w:r>
        <w:t>cuidado</w:t>
      </w:r>
      <w:proofErr w:type="spellEnd"/>
      <w:r>
        <w:t xml:space="preserve"> </w:t>
      </w:r>
      <w:proofErr w:type="spellStart"/>
      <w:r>
        <w:t>estables</w:t>
      </w:r>
      <w:proofErr w:type="spellEnd"/>
      <w:r>
        <w:t xml:space="preserve">. Se </w:t>
      </w:r>
      <w:proofErr w:type="spellStart"/>
      <w:r>
        <w:t>entiende</w:t>
      </w:r>
      <w:proofErr w:type="spellEnd"/>
      <w:r>
        <w:t xml:space="preserve"> </w:t>
      </w:r>
      <w:proofErr w:type="spellStart"/>
      <w:r>
        <w:t>por</w:t>
      </w:r>
      <w:proofErr w:type="spellEnd"/>
      <w:r>
        <w:t xml:space="preserve"> "</w:t>
      </w:r>
      <w:proofErr w:type="spellStart"/>
      <w:r>
        <w:t>cuidado</w:t>
      </w:r>
      <w:proofErr w:type="spellEnd"/>
      <w:r>
        <w:t xml:space="preserve"> alternativo" </w:t>
      </w:r>
      <w:proofErr w:type="spellStart"/>
      <w:r>
        <w:t>el</w:t>
      </w:r>
      <w:proofErr w:type="spellEnd"/>
      <w:r>
        <w:t xml:space="preserve"> </w:t>
      </w:r>
      <w:proofErr w:type="spellStart"/>
      <w:r>
        <w:t>cuidado</w:t>
      </w:r>
      <w:proofErr w:type="spellEnd"/>
      <w:r>
        <w:t xml:space="preserve"> </w:t>
      </w:r>
      <w:proofErr w:type="spellStart"/>
      <w:r>
        <w:t>brindado</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por</w:t>
      </w:r>
      <w:proofErr w:type="spellEnd"/>
      <w:r>
        <w:t xml:space="preserve"> </w:t>
      </w:r>
      <w:proofErr w:type="spellStart"/>
      <w:r>
        <w:t>cuidadores</w:t>
      </w:r>
      <w:proofErr w:type="spellEnd"/>
      <w:r>
        <w:t xml:space="preserve"> que no son sus padres </w:t>
      </w:r>
      <w:proofErr w:type="spellStart"/>
      <w:r>
        <w:t>biológicos</w:t>
      </w:r>
      <w:proofErr w:type="spellEnd"/>
      <w:r>
        <w:t xml:space="preserve"> </w:t>
      </w:r>
      <w:proofErr w:type="spellStart"/>
      <w:r>
        <w:t>ni</w:t>
      </w:r>
      <w:proofErr w:type="spellEnd"/>
      <w:r>
        <w:t xml:space="preserve"> sus </w:t>
      </w:r>
      <w:proofErr w:type="spellStart"/>
      <w:r>
        <w:t>cuidadores</w:t>
      </w:r>
      <w:proofErr w:type="spellEnd"/>
      <w:r>
        <w:t xml:space="preserve"> </w:t>
      </w:r>
      <w:proofErr w:type="spellStart"/>
      <w:r>
        <w:t>principales</w:t>
      </w:r>
      <w:proofErr w:type="spellEnd"/>
      <w:r>
        <w:t xml:space="preserve"> </w:t>
      </w:r>
      <w:proofErr w:type="spellStart"/>
      <w:r>
        <w:t>habituales</w:t>
      </w:r>
      <w:proofErr w:type="spellEnd"/>
      <w:r>
        <w:t xml:space="preserve">. </w:t>
      </w:r>
      <w:proofErr w:type="spellStart"/>
      <w:r>
        <w:t>Puede</w:t>
      </w:r>
      <w:proofErr w:type="spellEnd"/>
      <w:r>
        <w:t xml:space="preserve"> ser formal </w:t>
      </w:r>
      <w:proofErr w:type="spellStart"/>
      <w:proofErr w:type="gramStart"/>
      <w:r>
        <w:t>o</w:t>
      </w:r>
      <w:proofErr w:type="spellEnd"/>
      <w:r>
        <w:t xml:space="preserve"> informal</w:t>
      </w:r>
      <w:proofErr w:type="gramEnd"/>
      <w:r>
        <w:t xml:space="preserve">. </w:t>
      </w:r>
    </w:p>
    <w:p w14:paraId="27DCB015" w14:textId="7E8DDD84" w:rsidR="00C952FD" w:rsidRPr="007F26D6" w:rsidRDefault="007F26D6" w:rsidP="007F26D6">
      <w:pPr>
        <w:pStyle w:val="NormalTextBulletsLevel2"/>
      </w:pPr>
      <w:r>
        <w:t xml:space="preserve">Norma 20 - Justicia para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adolescentes</w:t>
      </w:r>
      <w:proofErr w:type="spellEnd"/>
      <w:r>
        <w:t xml:space="preserve">: Los </w:t>
      </w:r>
      <w:proofErr w:type="spellStart"/>
      <w:r>
        <w:t>actores</w:t>
      </w:r>
      <w:proofErr w:type="spellEnd"/>
      <w:r>
        <w:t xml:space="preserve"> de la </w:t>
      </w:r>
      <w:proofErr w:type="spellStart"/>
      <w:r>
        <w:t>protección</w:t>
      </w:r>
      <w:proofErr w:type="spellEnd"/>
      <w:r>
        <w:t xml:space="preserve"> </w:t>
      </w:r>
      <w:proofErr w:type="spellStart"/>
      <w:r>
        <w:t>humanitaria</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tienen</w:t>
      </w:r>
      <w:proofErr w:type="spellEnd"/>
      <w:r>
        <w:t xml:space="preserve"> la </w:t>
      </w:r>
      <w:proofErr w:type="spellStart"/>
      <w:r>
        <w:t>oportunidad</w:t>
      </w:r>
      <w:proofErr w:type="spellEnd"/>
      <w:r>
        <w:t xml:space="preserve"> de </w:t>
      </w:r>
      <w:proofErr w:type="spellStart"/>
      <w:r>
        <w:t>trabajar</w:t>
      </w:r>
      <w:proofErr w:type="spellEnd"/>
      <w:r>
        <w:t xml:space="preserve"> con </w:t>
      </w:r>
      <w:proofErr w:type="spellStart"/>
      <w:r>
        <w:t>actores</w:t>
      </w:r>
      <w:proofErr w:type="spellEnd"/>
      <w:r>
        <w:t xml:space="preserve"> </w:t>
      </w:r>
      <w:proofErr w:type="spellStart"/>
      <w:r>
        <w:t>nacionales</w:t>
      </w:r>
      <w:proofErr w:type="spellEnd"/>
      <w:r>
        <w:t xml:space="preserve"> y locales para </w:t>
      </w:r>
      <w:proofErr w:type="spellStart"/>
      <w:r>
        <w:t>fortalecer</w:t>
      </w:r>
      <w:proofErr w:type="spellEnd"/>
      <w:r>
        <w:t xml:space="preserve"> la </w:t>
      </w:r>
      <w:proofErr w:type="spellStart"/>
      <w:r>
        <w:t>justicia</w:t>
      </w:r>
      <w:proofErr w:type="spellEnd"/>
      <w:r>
        <w:t xml:space="preserve"> para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los</w:t>
      </w:r>
      <w:proofErr w:type="spellEnd"/>
      <w:r>
        <w:t xml:space="preserve"> </w:t>
      </w:r>
      <w:proofErr w:type="spellStart"/>
      <w:r>
        <w:t>adolescentes</w:t>
      </w:r>
      <w:proofErr w:type="spellEnd"/>
      <w:r>
        <w:t xml:space="preserve">. Las </w:t>
      </w:r>
      <w:proofErr w:type="spellStart"/>
      <w:r>
        <w:t>estrategias</w:t>
      </w:r>
      <w:proofErr w:type="spellEnd"/>
      <w:r>
        <w:t xml:space="preserve"> de </w:t>
      </w:r>
      <w:proofErr w:type="spellStart"/>
      <w:r>
        <w:t>justicia</w:t>
      </w:r>
      <w:proofErr w:type="spellEnd"/>
      <w:r>
        <w:t xml:space="preserve"> para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adolescentes</w:t>
      </w:r>
      <w:proofErr w:type="spellEnd"/>
      <w:r>
        <w:t xml:space="preserve"> </w:t>
      </w:r>
      <w:proofErr w:type="spellStart"/>
      <w:r>
        <w:t>abarcan</w:t>
      </w:r>
      <w:proofErr w:type="spellEnd"/>
      <w:r>
        <w:t xml:space="preserve"> tanto (a) </w:t>
      </w:r>
      <w:proofErr w:type="spellStart"/>
      <w:r>
        <w:t>los</w:t>
      </w:r>
      <w:proofErr w:type="spellEnd"/>
      <w:r>
        <w:t xml:space="preserve"> </w:t>
      </w:r>
      <w:proofErr w:type="spellStart"/>
      <w:r>
        <w:t>esfuerzos</w:t>
      </w:r>
      <w:proofErr w:type="spellEnd"/>
      <w:r>
        <w:t xml:space="preserve"> para </w:t>
      </w:r>
      <w:proofErr w:type="spellStart"/>
      <w:r>
        <w:t>proteger</w:t>
      </w:r>
      <w:proofErr w:type="spellEnd"/>
      <w:r>
        <w:t xml:space="preserve"> 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adolescentes</w:t>
      </w:r>
      <w:proofErr w:type="spellEnd"/>
      <w:r>
        <w:t xml:space="preserve"> </w:t>
      </w:r>
      <w:proofErr w:type="spellStart"/>
      <w:r>
        <w:t>mediante</w:t>
      </w:r>
      <w:proofErr w:type="spellEnd"/>
      <w:r>
        <w:t xml:space="preserve"> </w:t>
      </w:r>
      <w:proofErr w:type="spellStart"/>
      <w:r>
        <w:t>leyes</w:t>
      </w:r>
      <w:proofErr w:type="spellEnd"/>
      <w:r>
        <w:t xml:space="preserve"> </w:t>
      </w:r>
      <w:proofErr w:type="spellStart"/>
      <w:r>
        <w:t>formales</w:t>
      </w:r>
      <w:proofErr w:type="spellEnd"/>
      <w:r>
        <w:t xml:space="preserve"> y </w:t>
      </w:r>
      <w:proofErr w:type="spellStart"/>
      <w:r>
        <w:t>consuetudinarias</w:t>
      </w:r>
      <w:proofErr w:type="spellEnd"/>
      <w:r>
        <w:t xml:space="preserve"> </w:t>
      </w:r>
      <w:proofErr w:type="spellStart"/>
      <w:r>
        <w:t>como</w:t>
      </w:r>
      <w:proofErr w:type="spellEnd"/>
      <w:r>
        <w:t xml:space="preserve"> (b) las </w:t>
      </w:r>
      <w:proofErr w:type="spellStart"/>
      <w:r>
        <w:t>intervenciones</w:t>
      </w:r>
      <w:proofErr w:type="spellEnd"/>
      <w:r>
        <w:t xml:space="preserve"> que </w:t>
      </w:r>
      <w:proofErr w:type="spellStart"/>
      <w:r>
        <w:t>buscan</w:t>
      </w:r>
      <w:proofErr w:type="spellEnd"/>
      <w:r>
        <w:t xml:space="preserve"> </w:t>
      </w:r>
      <w:proofErr w:type="spellStart"/>
      <w:r>
        <w:t>superar</w:t>
      </w:r>
      <w:proofErr w:type="spellEnd"/>
      <w:r>
        <w:t xml:space="preserve"> </w:t>
      </w:r>
      <w:proofErr w:type="spellStart"/>
      <w:r>
        <w:t>los</w:t>
      </w:r>
      <w:proofErr w:type="spellEnd"/>
      <w:r>
        <w:t xml:space="preserve"> </w:t>
      </w:r>
      <w:proofErr w:type="spellStart"/>
      <w:r>
        <w:t>riesgos</w:t>
      </w:r>
      <w:proofErr w:type="spellEnd"/>
      <w:r>
        <w:t xml:space="preserve"> que </w:t>
      </w:r>
      <w:proofErr w:type="spellStart"/>
      <w:r>
        <w:t>pueden</w:t>
      </w:r>
      <w:proofErr w:type="spellEnd"/>
      <w:r>
        <w:t xml:space="preserve"> </w:t>
      </w:r>
      <w:proofErr w:type="spellStart"/>
      <w:r>
        <w:t>presentar</w:t>
      </w:r>
      <w:proofErr w:type="spellEnd"/>
      <w:r>
        <w:t xml:space="preserve"> </w:t>
      </w:r>
      <w:proofErr w:type="spellStart"/>
      <w:r>
        <w:t>los</w:t>
      </w:r>
      <w:proofErr w:type="spellEnd"/>
      <w:r>
        <w:t xml:space="preserve"> </w:t>
      </w:r>
      <w:proofErr w:type="spellStart"/>
      <w:r>
        <w:t>sistemas</w:t>
      </w:r>
      <w:proofErr w:type="spellEnd"/>
      <w:r>
        <w:t xml:space="preserve"> de </w:t>
      </w:r>
      <w:proofErr w:type="spellStart"/>
      <w:r>
        <w:t>justicia</w:t>
      </w:r>
      <w:proofErr w:type="spellEnd"/>
    </w:p>
    <w:p w14:paraId="513B2BC3" w14:textId="0D03951E" w:rsidR="009F4F07" w:rsidRPr="008011F9" w:rsidRDefault="008011F9" w:rsidP="008011F9">
      <w:pPr>
        <w:pStyle w:val="NormalTextBulletsLevel1"/>
      </w:pPr>
      <w:r w:rsidRPr="008011F9">
        <w:t xml:space="preserve">Es </w:t>
      </w:r>
      <w:proofErr w:type="spellStart"/>
      <w:r w:rsidRPr="008011F9">
        <w:t>importante</w:t>
      </w:r>
      <w:proofErr w:type="spellEnd"/>
      <w:r w:rsidRPr="008011F9">
        <w:t xml:space="preserve"> </w:t>
      </w:r>
      <w:proofErr w:type="spellStart"/>
      <w:r w:rsidRPr="008011F9">
        <w:t>considerar</w:t>
      </w:r>
      <w:proofErr w:type="spellEnd"/>
      <w:r w:rsidRPr="008011F9">
        <w:t xml:space="preserve"> </w:t>
      </w:r>
      <w:proofErr w:type="spellStart"/>
      <w:r w:rsidRPr="008011F9">
        <w:t>qué</w:t>
      </w:r>
      <w:proofErr w:type="spellEnd"/>
      <w:r w:rsidRPr="008011F9">
        <w:t xml:space="preserve"> </w:t>
      </w:r>
      <w:proofErr w:type="spellStart"/>
      <w:r w:rsidRPr="008011F9">
        <w:t>estrategias</w:t>
      </w:r>
      <w:proofErr w:type="spellEnd"/>
      <w:r w:rsidRPr="008011F9">
        <w:t xml:space="preserve"> son las </w:t>
      </w:r>
      <w:proofErr w:type="spellStart"/>
      <w:r w:rsidRPr="008011F9">
        <w:t>más</w:t>
      </w:r>
      <w:proofErr w:type="spellEnd"/>
      <w:r w:rsidRPr="008011F9">
        <w:t xml:space="preserve"> </w:t>
      </w:r>
      <w:proofErr w:type="spellStart"/>
      <w:r w:rsidRPr="008011F9">
        <w:t>pertinentes</w:t>
      </w:r>
      <w:proofErr w:type="spellEnd"/>
      <w:r w:rsidRPr="008011F9">
        <w:t xml:space="preserve"> </w:t>
      </w:r>
      <w:proofErr w:type="spellStart"/>
      <w:r w:rsidRPr="008011F9">
        <w:t>en</w:t>
      </w:r>
      <w:proofErr w:type="spellEnd"/>
      <w:r w:rsidRPr="008011F9">
        <w:t xml:space="preserve"> </w:t>
      </w:r>
      <w:proofErr w:type="spellStart"/>
      <w:r w:rsidRPr="008011F9">
        <w:t>su</w:t>
      </w:r>
      <w:proofErr w:type="spellEnd"/>
      <w:r w:rsidRPr="008011F9">
        <w:t xml:space="preserve"> </w:t>
      </w:r>
      <w:proofErr w:type="spellStart"/>
      <w:r w:rsidRPr="008011F9">
        <w:t>propio</w:t>
      </w:r>
      <w:proofErr w:type="spellEnd"/>
      <w:r w:rsidRPr="008011F9">
        <w:t xml:space="preserve"> </w:t>
      </w:r>
      <w:proofErr w:type="spellStart"/>
      <w:r w:rsidRPr="008011F9">
        <w:t>contexto</w:t>
      </w:r>
      <w:proofErr w:type="spellEnd"/>
      <w:r w:rsidRPr="008011F9">
        <w:t xml:space="preserve">, </w:t>
      </w:r>
      <w:proofErr w:type="spellStart"/>
      <w:r w:rsidRPr="008011F9">
        <w:t>en</w:t>
      </w:r>
      <w:proofErr w:type="spellEnd"/>
      <w:r w:rsidRPr="008011F9">
        <w:t xml:space="preserve"> </w:t>
      </w:r>
      <w:proofErr w:type="spellStart"/>
      <w:r w:rsidRPr="008011F9">
        <w:t>función</w:t>
      </w:r>
      <w:proofErr w:type="spellEnd"/>
      <w:r w:rsidRPr="008011F9">
        <w:t xml:space="preserve"> de </w:t>
      </w:r>
      <w:proofErr w:type="spellStart"/>
      <w:r w:rsidRPr="008011F9">
        <w:t>los</w:t>
      </w:r>
      <w:proofErr w:type="spellEnd"/>
      <w:r w:rsidRPr="008011F9">
        <w:t xml:space="preserve"> </w:t>
      </w:r>
      <w:proofErr w:type="spellStart"/>
      <w:r w:rsidRPr="008011F9">
        <w:t>riesgos</w:t>
      </w:r>
      <w:proofErr w:type="spellEnd"/>
      <w:r w:rsidRPr="008011F9">
        <w:t xml:space="preserve"> </w:t>
      </w:r>
      <w:proofErr w:type="spellStart"/>
      <w:r w:rsidRPr="008011F9">
        <w:t>existentes</w:t>
      </w:r>
      <w:proofErr w:type="spellEnd"/>
      <w:r w:rsidRPr="008011F9">
        <w:t xml:space="preserve"> y de </w:t>
      </w:r>
      <w:proofErr w:type="spellStart"/>
      <w:r w:rsidRPr="008011F9">
        <w:t>los</w:t>
      </w:r>
      <w:proofErr w:type="spellEnd"/>
      <w:r w:rsidRPr="008011F9">
        <w:t xml:space="preserve"> </w:t>
      </w:r>
      <w:proofErr w:type="spellStart"/>
      <w:r w:rsidRPr="008011F9">
        <w:t>factores</w:t>
      </w:r>
      <w:proofErr w:type="spellEnd"/>
      <w:r w:rsidRPr="008011F9">
        <w:t xml:space="preserve"> de </w:t>
      </w:r>
      <w:proofErr w:type="spellStart"/>
      <w:r w:rsidRPr="008011F9">
        <w:t>protección</w:t>
      </w:r>
      <w:proofErr w:type="spellEnd"/>
      <w:r w:rsidRPr="008011F9">
        <w:t xml:space="preserve"> </w:t>
      </w:r>
      <w:proofErr w:type="spellStart"/>
      <w:r w:rsidRPr="008011F9">
        <w:t>existentes</w:t>
      </w:r>
      <w:proofErr w:type="spellEnd"/>
      <w:r w:rsidRPr="008011F9">
        <w:t xml:space="preserve">. Las NMPNA </w:t>
      </w:r>
      <w:proofErr w:type="spellStart"/>
      <w:r w:rsidRPr="008011F9">
        <w:t>contiene</w:t>
      </w:r>
      <w:proofErr w:type="spellEnd"/>
      <w:r w:rsidRPr="008011F9">
        <w:t xml:space="preserve"> </w:t>
      </w:r>
      <w:proofErr w:type="spellStart"/>
      <w:r w:rsidRPr="008011F9">
        <w:t>orientaciones</w:t>
      </w:r>
      <w:proofErr w:type="spellEnd"/>
      <w:r w:rsidRPr="008011F9">
        <w:t xml:space="preserve"> que </w:t>
      </w:r>
      <w:proofErr w:type="spellStart"/>
      <w:r w:rsidRPr="008011F9">
        <w:t>pueden</w:t>
      </w:r>
      <w:proofErr w:type="spellEnd"/>
      <w:r w:rsidRPr="008011F9">
        <w:t xml:space="preserve"> </w:t>
      </w:r>
      <w:proofErr w:type="spellStart"/>
      <w:r w:rsidRPr="008011F9">
        <w:t>ayudarles</w:t>
      </w:r>
      <w:proofErr w:type="spellEnd"/>
      <w:r w:rsidRPr="008011F9">
        <w:t xml:space="preserve"> </w:t>
      </w:r>
      <w:proofErr w:type="spellStart"/>
      <w:r w:rsidRPr="008011F9">
        <w:t>en</w:t>
      </w:r>
      <w:proofErr w:type="spellEnd"/>
      <w:r w:rsidRPr="008011F9">
        <w:t xml:space="preserve"> </w:t>
      </w:r>
      <w:proofErr w:type="spellStart"/>
      <w:r w:rsidRPr="008011F9">
        <w:t>estas</w:t>
      </w:r>
      <w:proofErr w:type="spellEnd"/>
      <w:r w:rsidRPr="008011F9">
        <w:t xml:space="preserve"> </w:t>
      </w:r>
      <w:proofErr w:type="spellStart"/>
      <w:r w:rsidRPr="008011F9">
        <w:t>reflexiones</w:t>
      </w:r>
      <w:proofErr w:type="spellEnd"/>
      <w:r w:rsidRPr="008011F9">
        <w:t xml:space="preserve"> y debates.  </w:t>
      </w:r>
      <w:r w:rsidR="00735F5E" w:rsidRPr="008011F9">
        <w:rPr>
          <w:highlight w:val="white"/>
        </w:rPr>
        <w:t xml:space="preserve">  </w:t>
      </w:r>
    </w:p>
    <w:p w14:paraId="64EB4ADA" w14:textId="117AA628" w:rsidR="00CD4FAA" w:rsidRDefault="00461CDE" w:rsidP="00461CDE">
      <w:pPr>
        <w:pStyle w:val="1Heading1"/>
      </w:pPr>
      <w:r w:rsidRPr="00461CDE">
        <w:t>Resumen de la sesión</w:t>
      </w:r>
    </w:p>
    <w:p w14:paraId="5F0ABF48" w14:textId="47EB2642" w:rsidR="00AD45CF" w:rsidRPr="00AD45CF" w:rsidRDefault="0069146F" w:rsidP="000829BE">
      <w:pPr>
        <w:pStyle w:val="Mormal03CMIndent"/>
      </w:pPr>
      <w:r w:rsidRPr="0069146F">
        <w:t xml:space="preserve">* </w:t>
      </w:r>
      <w:proofErr w:type="spellStart"/>
      <w:r w:rsidRPr="0069146F">
        <w:t>Asegúrese</w:t>
      </w:r>
      <w:proofErr w:type="spellEnd"/>
      <w:r w:rsidRPr="0069146F">
        <w:t xml:space="preserve"> de </w:t>
      </w:r>
      <w:proofErr w:type="spellStart"/>
      <w:r w:rsidRPr="0069146F">
        <w:t>facilitar</w:t>
      </w:r>
      <w:proofErr w:type="spellEnd"/>
      <w:r w:rsidRPr="0069146F">
        <w:t xml:space="preserve"> </w:t>
      </w:r>
      <w:proofErr w:type="spellStart"/>
      <w:r w:rsidRPr="0069146F">
        <w:t>los</w:t>
      </w:r>
      <w:proofErr w:type="spellEnd"/>
      <w:r w:rsidRPr="0069146F">
        <w:t xml:space="preserve"> </w:t>
      </w:r>
      <w:proofErr w:type="spellStart"/>
      <w:r w:rsidRPr="0069146F">
        <w:t>descansos</w:t>
      </w:r>
      <w:proofErr w:type="spellEnd"/>
      <w:r w:rsidRPr="0069146F">
        <w:t xml:space="preserve"> e </w:t>
      </w:r>
      <w:proofErr w:type="spellStart"/>
      <w:r w:rsidRPr="0069146F">
        <w:t>incluya</w:t>
      </w:r>
      <w:proofErr w:type="spellEnd"/>
      <w:r w:rsidRPr="0069146F">
        <w:t xml:space="preserve"> </w:t>
      </w:r>
      <w:proofErr w:type="spellStart"/>
      <w:r w:rsidRPr="0069146F">
        <w:t>pausas</w:t>
      </w:r>
      <w:proofErr w:type="spellEnd"/>
      <w:r w:rsidRPr="0069146F">
        <w:t xml:space="preserve"> </w:t>
      </w:r>
      <w:proofErr w:type="spellStart"/>
      <w:r w:rsidRPr="0069146F">
        <w:t>energéticas</w:t>
      </w:r>
      <w:proofErr w:type="spellEnd"/>
      <w:r w:rsidRPr="0069146F">
        <w:t xml:space="preserve"> </w:t>
      </w:r>
      <w:proofErr w:type="spellStart"/>
      <w:r w:rsidRPr="0069146F">
        <w:t>según</w:t>
      </w:r>
      <w:proofErr w:type="spellEnd"/>
      <w:r w:rsidRPr="0069146F">
        <w:t xml:space="preserve"> sea </w:t>
      </w:r>
      <w:proofErr w:type="spellStart"/>
      <w:r w:rsidRPr="0069146F">
        <w:t>necesario</w:t>
      </w:r>
      <w:proofErr w:type="spellEnd"/>
      <w:r w:rsidRPr="0069146F">
        <w:t>.</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AE07D8">
        <w:trPr>
          <w:trHeight w:val="452"/>
        </w:trPr>
        <w:tc>
          <w:tcPr>
            <w:tcW w:w="5246" w:type="dxa"/>
            <w:shd w:val="clear" w:color="auto" w:fill="415E78"/>
            <w:tcMar>
              <w:top w:w="0" w:type="dxa"/>
              <w:left w:w="0" w:type="dxa"/>
              <w:bottom w:w="0" w:type="dxa"/>
              <w:right w:w="0" w:type="dxa"/>
            </w:tcMar>
            <w:vAlign w:val="center"/>
          </w:tcPr>
          <w:p w14:paraId="137BD724" w14:textId="1AE2E898" w:rsidR="00E63327" w:rsidRPr="00145685" w:rsidRDefault="00D24869" w:rsidP="000829BE">
            <w:pPr>
              <w:pStyle w:val="TableWhiteHeadings"/>
            </w:pPr>
            <w:r w:rsidRPr="00D24869">
              <w:t>Tema</w:t>
            </w:r>
          </w:p>
        </w:tc>
        <w:tc>
          <w:tcPr>
            <w:tcW w:w="4820" w:type="dxa"/>
            <w:shd w:val="clear" w:color="auto" w:fill="415E78"/>
            <w:tcMar>
              <w:top w:w="0" w:type="dxa"/>
              <w:left w:w="0" w:type="dxa"/>
              <w:bottom w:w="0" w:type="dxa"/>
              <w:right w:w="0" w:type="dxa"/>
            </w:tcMar>
            <w:vAlign w:val="center"/>
          </w:tcPr>
          <w:p w14:paraId="10F940F8" w14:textId="18A4EC77" w:rsidR="00E63327" w:rsidRPr="00145685" w:rsidRDefault="00ED586E" w:rsidP="000829BE">
            <w:pPr>
              <w:pStyle w:val="TableWhiteHeadings"/>
            </w:pPr>
            <w:proofErr w:type="spellStart"/>
            <w:r w:rsidRPr="00ED586E">
              <w:t>Metodología</w:t>
            </w:r>
            <w:proofErr w:type="spellEnd"/>
          </w:p>
        </w:tc>
        <w:tc>
          <w:tcPr>
            <w:tcW w:w="1124" w:type="dxa"/>
            <w:shd w:val="clear" w:color="auto" w:fill="415E78"/>
            <w:tcMar>
              <w:top w:w="0" w:type="dxa"/>
              <w:left w:w="0" w:type="dxa"/>
              <w:bottom w:w="0" w:type="dxa"/>
              <w:right w:w="0" w:type="dxa"/>
            </w:tcMar>
            <w:vAlign w:val="center"/>
          </w:tcPr>
          <w:p w14:paraId="453E291C" w14:textId="7472A925" w:rsidR="00E63327" w:rsidRPr="00145685" w:rsidRDefault="00C31317" w:rsidP="000829BE">
            <w:pPr>
              <w:pStyle w:val="TableWhiteHeadings"/>
            </w:pPr>
            <w:r w:rsidRPr="00C31317">
              <w:t>Tiempo</w:t>
            </w:r>
          </w:p>
        </w:tc>
      </w:tr>
      <w:tr w:rsidR="00972E4E" w14:paraId="3C9B36A7" w14:textId="77777777" w:rsidTr="00AE07D8">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5C6C62EF" w:rsidR="00972E4E" w:rsidRPr="005970E1" w:rsidRDefault="001056DF" w:rsidP="000829BE">
            <w:pPr>
              <w:pStyle w:val="NormalFontForTable"/>
            </w:pPr>
            <w:proofErr w:type="spellStart"/>
            <w:r w:rsidRPr="001056DF">
              <w:t>Estrategias</w:t>
            </w:r>
            <w:proofErr w:type="spellEnd"/>
            <w:r w:rsidRPr="001056DF">
              <w:t xml:space="preserve"> de PN: de la norma 15 a la norma 20 </w:t>
            </w:r>
            <w:proofErr w:type="spellStart"/>
            <w:r w:rsidRPr="001056DF">
              <w:t>Carrusel</w:t>
            </w:r>
            <w:proofErr w:type="spellEnd"/>
            <w:r w:rsidRPr="001056DF">
              <w:t xml:space="preserve"> de </w:t>
            </w:r>
            <w:proofErr w:type="spellStart"/>
            <w:r w:rsidRPr="001056DF">
              <w:t>estudios</w:t>
            </w:r>
            <w:proofErr w:type="spellEnd"/>
            <w:r w:rsidRPr="001056DF">
              <w:t xml:space="preserve"> de </w:t>
            </w:r>
            <w:proofErr w:type="spellStart"/>
            <w:r w:rsidRPr="001056DF">
              <w:t>caso</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6D63F125" w:rsidR="00972E4E" w:rsidRPr="00F87CCB" w:rsidRDefault="00FD2BCF" w:rsidP="000829BE">
            <w:pPr>
              <w:pStyle w:val="NormalFontForTable"/>
            </w:pPr>
            <w:proofErr w:type="spellStart"/>
            <w:r w:rsidRPr="00FD2BCF">
              <w:t>Revisión</w:t>
            </w:r>
            <w:proofErr w:type="spellEnd"/>
            <w:r w:rsidRPr="00FD2BCF">
              <w:t xml:space="preserve"> del </w:t>
            </w:r>
            <w:proofErr w:type="spellStart"/>
            <w:r w:rsidRPr="00FD2BCF">
              <w:t>Carrusel</w:t>
            </w:r>
            <w:proofErr w:type="spellEnd"/>
            <w:r w:rsidRPr="00FD2BCF">
              <w:t xml:space="preserve"> de </w:t>
            </w:r>
            <w:proofErr w:type="spellStart"/>
            <w:r w:rsidRPr="00FD2BCF">
              <w:t>Estudio</w:t>
            </w:r>
            <w:proofErr w:type="spellEnd"/>
            <w:r w:rsidRPr="00FD2BCF">
              <w:t xml:space="preserve"> de Caso</w:t>
            </w:r>
          </w:p>
        </w:tc>
        <w:tc>
          <w:tcPr>
            <w:tcW w:w="1124" w:type="dxa"/>
            <w:shd w:val="clear" w:color="auto" w:fill="F2F2F2" w:themeFill="background1" w:themeFillShade="F2"/>
            <w:tcMar>
              <w:top w:w="0" w:type="dxa"/>
              <w:left w:w="0" w:type="dxa"/>
              <w:bottom w:w="0" w:type="dxa"/>
              <w:right w:w="0" w:type="dxa"/>
            </w:tcMar>
            <w:vAlign w:val="center"/>
          </w:tcPr>
          <w:p w14:paraId="4DF49F97" w14:textId="2E349813" w:rsidR="00972E4E" w:rsidRPr="004825A4" w:rsidRDefault="00F93CA5" w:rsidP="000829BE">
            <w:pPr>
              <w:pStyle w:val="NormalFontForTable"/>
            </w:pPr>
            <w:r>
              <w:t>60</w:t>
            </w:r>
            <w:r w:rsidR="00972E4E">
              <w:t xml:space="preserve"> min</w:t>
            </w:r>
          </w:p>
        </w:tc>
      </w:tr>
      <w:tr w:rsidR="009F1484" w14:paraId="61153655" w14:textId="77777777" w:rsidTr="00AE07D8">
        <w:trPr>
          <w:trHeight w:val="452"/>
        </w:trPr>
        <w:tc>
          <w:tcPr>
            <w:tcW w:w="5246" w:type="dxa"/>
            <w:shd w:val="clear" w:color="auto" w:fill="FFFFFF"/>
            <w:tcMar>
              <w:top w:w="0" w:type="dxa"/>
              <w:left w:w="0" w:type="dxa"/>
              <w:bottom w:w="0" w:type="dxa"/>
              <w:right w:w="0" w:type="dxa"/>
            </w:tcMar>
            <w:vAlign w:val="center"/>
          </w:tcPr>
          <w:p w14:paraId="298C737F" w14:textId="2239F706" w:rsidR="009F1484" w:rsidRPr="00F87CCB" w:rsidRDefault="001445E2" w:rsidP="000829BE">
            <w:pPr>
              <w:pStyle w:val="NormalFontForTable"/>
            </w:pPr>
            <w:proofErr w:type="spellStart"/>
            <w:r w:rsidRPr="001445E2">
              <w:t>Estrategias</w:t>
            </w:r>
            <w:proofErr w:type="spellEnd"/>
            <w:r w:rsidRPr="001445E2">
              <w:t xml:space="preserve"> de PN: de la norma 15 a la norma 20 </w:t>
            </w:r>
            <w:proofErr w:type="spellStart"/>
            <w:r w:rsidRPr="001445E2">
              <w:t>Carrusel</w:t>
            </w:r>
            <w:proofErr w:type="spellEnd"/>
            <w:r w:rsidRPr="001445E2">
              <w:t xml:space="preserve"> de </w:t>
            </w:r>
            <w:proofErr w:type="spellStart"/>
            <w:r w:rsidRPr="001445E2">
              <w:t>estudios</w:t>
            </w:r>
            <w:proofErr w:type="spellEnd"/>
            <w:r w:rsidRPr="001445E2">
              <w:t xml:space="preserve"> de </w:t>
            </w:r>
            <w:proofErr w:type="spellStart"/>
            <w:r w:rsidRPr="001445E2">
              <w:t>caso</w:t>
            </w:r>
            <w:proofErr w:type="spellEnd"/>
          </w:p>
        </w:tc>
        <w:tc>
          <w:tcPr>
            <w:tcW w:w="4820" w:type="dxa"/>
            <w:shd w:val="clear" w:color="auto" w:fill="FFFFFF"/>
            <w:tcMar>
              <w:top w:w="0" w:type="dxa"/>
              <w:left w:w="0" w:type="dxa"/>
              <w:bottom w:w="0" w:type="dxa"/>
              <w:right w:w="0" w:type="dxa"/>
            </w:tcMar>
            <w:vAlign w:val="center"/>
          </w:tcPr>
          <w:p w14:paraId="0C3785EA" w14:textId="7AFB4DD9" w:rsidR="009F1484" w:rsidRPr="00F87CCB" w:rsidRDefault="00085260" w:rsidP="000829BE">
            <w:pPr>
              <w:pStyle w:val="NormalFontForTable"/>
            </w:pPr>
            <w:proofErr w:type="spellStart"/>
            <w:r w:rsidRPr="00085260">
              <w:t>Comentarios</w:t>
            </w:r>
            <w:proofErr w:type="spellEnd"/>
            <w:r w:rsidRPr="00085260">
              <w:t xml:space="preserve"> de la </w:t>
            </w:r>
            <w:proofErr w:type="spellStart"/>
            <w:r w:rsidRPr="00085260">
              <w:t>Sesión</w:t>
            </w:r>
            <w:proofErr w:type="spellEnd"/>
            <w:r w:rsidRPr="00085260">
              <w:t xml:space="preserve"> </w:t>
            </w:r>
            <w:proofErr w:type="spellStart"/>
            <w:r w:rsidRPr="00085260">
              <w:t>Plenaria</w:t>
            </w:r>
            <w:proofErr w:type="spellEnd"/>
            <w:r w:rsidRPr="00085260">
              <w:t xml:space="preserve"> </w:t>
            </w:r>
            <w:proofErr w:type="spellStart"/>
            <w:r w:rsidRPr="00085260">
              <w:t>sobre</w:t>
            </w:r>
            <w:proofErr w:type="spellEnd"/>
            <w:r w:rsidRPr="00085260">
              <w:t xml:space="preserve"> </w:t>
            </w:r>
            <w:proofErr w:type="spellStart"/>
            <w:r w:rsidRPr="00085260">
              <w:t>el</w:t>
            </w:r>
            <w:proofErr w:type="spellEnd"/>
            <w:r w:rsidRPr="00085260">
              <w:t xml:space="preserve"> </w:t>
            </w:r>
            <w:proofErr w:type="spellStart"/>
            <w:r w:rsidRPr="00085260">
              <w:t>Carrusel</w:t>
            </w:r>
            <w:proofErr w:type="spellEnd"/>
          </w:p>
        </w:tc>
        <w:tc>
          <w:tcPr>
            <w:tcW w:w="1124" w:type="dxa"/>
            <w:shd w:val="clear" w:color="auto" w:fill="FFFFFF"/>
            <w:tcMar>
              <w:top w:w="0" w:type="dxa"/>
              <w:left w:w="0" w:type="dxa"/>
              <w:bottom w:w="0" w:type="dxa"/>
              <w:right w:w="0" w:type="dxa"/>
            </w:tcMar>
            <w:vAlign w:val="center"/>
          </w:tcPr>
          <w:p w14:paraId="49190D04" w14:textId="27740D68" w:rsidR="009F1484" w:rsidRPr="009F1484" w:rsidRDefault="00F87CCB" w:rsidP="000829BE">
            <w:pPr>
              <w:pStyle w:val="NormalFontForTable"/>
            </w:pPr>
            <w:r>
              <w:t>45</w:t>
            </w:r>
            <w:r w:rsidR="009F1484" w:rsidRPr="009F1484">
              <w:t xml:space="preserve"> min</w:t>
            </w:r>
          </w:p>
        </w:tc>
      </w:tr>
      <w:tr w:rsidR="003E0223" w14:paraId="37F76EA0" w14:textId="77777777" w:rsidTr="00AE07D8">
        <w:trPr>
          <w:trHeight w:val="452"/>
        </w:trPr>
        <w:tc>
          <w:tcPr>
            <w:tcW w:w="5246" w:type="dxa"/>
            <w:shd w:val="clear" w:color="auto" w:fill="F2F2F2" w:themeFill="background1" w:themeFillShade="F2"/>
            <w:tcMar>
              <w:top w:w="0" w:type="dxa"/>
              <w:left w:w="0" w:type="dxa"/>
              <w:bottom w:w="0" w:type="dxa"/>
              <w:right w:w="0" w:type="dxa"/>
            </w:tcMar>
            <w:vAlign w:val="center"/>
          </w:tcPr>
          <w:p w14:paraId="1B756112" w14:textId="72FF8A45" w:rsidR="003E0223" w:rsidRPr="001E0E49" w:rsidRDefault="00664C4D" w:rsidP="000829BE">
            <w:pPr>
              <w:pStyle w:val="NormalFontForTable"/>
            </w:pPr>
            <w:proofErr w:type="spellStart"/>
            <w:r w:rsidRPr="00664C4D">
              <w:t>Recapitulación</w:t>
            </w:r>
            <w:proofErr w:type="spellEnd"/>
            <w:r w:rsidR="00E400A5">
              <w:t xml:space="preserve"> </w:t>
            </w:r>
          </w:p>
        </w:tc>
        <w:tc>
          <w:tcPr>
            <w:tcW w:w="4820" w:type="dxa"/>
            <w:shd w:val="clear" w:color="auto" w:fill="F2F2F2" w:themeFill="background1" w:themeFillShade="F2"/>
            <w:tcMar>
              <w:top w:w="0" w:type="dxa"/>
              <w:left w:w="0" w:type="dxa"/>
              <w:bottom w:w="0" w:type="dxa"/>
              <w:right w:w="0" w:type="dxa"/>
            </w:tcMar>
            <w:vAlign w:val="center"/>
          </w:tcPr>
          <w:p w14:paraId="0119C171" w14:textId="2B22E01B" w:rsidR="003E0223" w:rsidRPr="00FC56D3" w:rsidRDefault="003E0223" w:rsidP="000829BE">
            <w:pPr>
              <w:pStyle w:val="NormalFontForTable"/>
            </w:pPr>
          </w:p>
        </w:tc>
        <w:tc>
          <w:tcPr>
            <w:tcW w:w="1124" w:type="dxa"/>
            <w:shd w:val="clear" w:color="auto" w:fill="F2F2F2" w:themeFill="background1" w:themeFillShade="F2"/>
            <w:tcMar>
              <w:top w:w="0" w:type="dxa"/>
              <w:left w:w="0" w:type="dxa"/>
              <w:bottom w:w="0" w:type="dxa"/>
              <w:right w:w="0" w:type="dxa"/>
            </w:tcMar>
            <w:vAlign w:val="center"/>
          </w:tcPr>
          <w:p w14:paraId="541EAD9E" w14:textId="155FE8C3" w:rsidR="003E0223" w:rsidRDefault="001E0E49" w:rsidP="000829BE">
            <w:pPr>
              <w:pStyle w:val="NormalFontForTable"/>
            </w:pPr>
            <w:r>
              <w:t>5</w:t>
            </w:r>
            <w:r w:rsidRPr="00C7494A">
              <w:t xml:space="preserve"> min</w:t>
            </w:r>
          </w:p>
        </w:tc>
      </w:tr>
      <w:tr w:rsidR="00E85FBB" w14:paraId="2E114B1F" w14:textId="77777777" w:rsidTr="00AE07D8">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1B311B3D" w:rsidR="00E85FBB" w:rsidRPr="00C705B7" w:rsidRDefault="00E85FBB" w:rsidP="000829BE">
            <w:pPr>
              <w:pStyle w:val="NormalFontForTable"/>
            </w:pPr>
            <w:r w:rsidRPr="00C705B7">
              <w:t>Total</w:t>
            </w:r>
          </w:p>
        </w:tc>
        <w:tc>
          <w:tcPr>
            <w:tcW w:w="4820"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E85FBB" w:rsidRPr="004825A4" w:rsidRDefault="00E85FBB" w:rsidP="000829BE">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35C05EDE" w:rsidR="00E85FBB" w:rsidRPr="004825A4" w:rsidRDefault="00F87CCB" w:rsidP="000829BE">
            <w:pPr>
              <w:pStyle w:val="NormalFontForTable"/>
            </w:pPr>
            <w:r>
              <w:t>110</w:t>
            </w:r>
            <w:r w:rsidR="00E85FBB" w:rsidRPr="004825A4">
              <w:t xml:space="preserve"> min</w:t>
            </w:r>
          </w:p>
        </w:tc>
      </w:tr>
    </w:tbl>
    <w:p w14:paraId="28C6A920" w14:textId="77777777" w:rsidR="00FC56D3" w:rsidRDefault="00FC56D3" w:rsidP="000829BE">
      <w:pPr>
        <w:pStyle w:val="BulletsLevel2"/>
        <w:numPr>
          <w:ilvl w:val="0"/>
          <w:numId w:val="0"/>
        </w:numPr>
        <w:ind w:left="1208"/>
      </w:pPr>
    </w:p>
    <w:p w14:paraId="31BAA326" w14:textId="209EE593" w:rsidR="0059398D" w:rsidRDefault="00E400A5" w:rsidP="00E400A5">
      <w:pPr>
        <w:pStyle w:val="1Heading1"/>
      </w:pPr>
      <w:r w:rsidRPr="00E400A5">
        <w:lastRenderedPageBreak/>
        <w:t>Instrucciones para Facilitadores</w:t>
      </w:r>
      <w:bookmarkStart w:id="2" w:name="_Toc522623220"/>
    </w:p>
    <w:bookmarkEnd w:id="2"/>
    <w:p w14:paraId="26DCE0D7" w14:textId="77777777" w:rsidR="00E11AE8" w:rsidRDefault="00E11AE8" w:rsidP="000829BE"/>
    <w:tbl>
      <w:tblPr>
        <w:tblStyle w:val="TableGrid"/>
        <w:tblW w:w="0" w:type="auto"/>
        <w:tblLook w:val="04A0" w:firstRow="1" w:lastRow="0" w:firstColumn="1" w:lastColumn="0" w:noHBand="0" w:noVBand="1"/>
      </w:tblPr>
      <w:tblGrid>
        <w:gridCol w:w="7264"/>
        <w:gridCol w:w="6055"/>
        <w:gridCol w:w="999"/>
      </w:tblGrid>
      <w:tr w:rsidR="00CE316F" w:rsidRPr="00B11BDB" w14:paraId="525B3164" w14:textId="77777777" w:rsidTr="00272067">
        <w:trPr>
          <w:trHeight w:val="465"/>
        </w:trPr>
        <w:tc>
          <w:tcPr>
            <w:tcW w:w="7264" w:type="dxa"/>
            <w:tcBorders>
              <w:top w:val="nil"/>
              <w:left w:val="nil"/>
              <w:bottom w:val="single" w:sz="4" w:space="0" w:color="BFBFBF" w:themeColor="background1" w:themeShade="BF"/>
              <w:right w:val="nil"/>
            </w:tcBorders>
            <w:shd w:val="clear" w:color="auto" w:fill="415E78"/>
            <w:vAlign w:val="center"/>
          </w:tcPr>
          <w:p w14:paraId="4C69BF04" w14:textId="68B7058E" w:rsidR="00CE316F" w:rsidRPr="00B464D0" w:rsidRDefault="00B45702" w:rsidP="000829BE">
            <w:pPr>
              <w:pStyle w:val="TablWhiteHeading0MArgins"/>
            </w:pPr>
            <w:proofErr w:type="spellStart"/>
            <w:r w:rsidRPr="00B45702">
              <w:t>Metodologías</w:t>
            </w:r>
            <w:proofErr w:type="spellEnd"/>
            <w:r w:rsidRPr="00B45702">
              <w:t xml:space="preserve"> </w:t>
            </w:r>
            <w:proofErr w:type="spellStart"/>
            <w:r w:rsidRPr="00B45702">
              <w:t>Presenciales</w:t>
            </w:r>
            <w:proofErr w:type="spellEnd"/>
          </w:p>
        </w:tc>
        <w:tc>
          <w:tcPr>
            <w:tcW w:w="6055" w:type="dxa"/>
            <w:tcBorders>
              <w:top w:val="nil"/>
              <w:left w:val="nil"/>
              <w:bottom w:val="single" w:sz="4" w:space="0" w:color="BFBFBF" w:themeColor="background1" w:themeShade="BF"/>
              <w:right w:val="nil"/>
            </w:tcBorders>
            <w:shd w:val="clear" w:color="auto" w:fill="415E78"/>
            <w:vAlign w:val="center"/>
          </w:tcPr>
          <w:p w14:paraId="0FD1DE17" w14:textId="242C43F3" w:rsidR="00CE316F" w:rsidRPr="00B464D0" w:rsidRDefault="009F6207" w:rsidP="000829BE">
            <w:pPr>
              <w:pStyle w:val="TablWhiteHeading0MArgins"/>
            </w:pPr>
            <w:proofErr w:type="spellStart"/>
            <w:r w:rsidRPr="009F6207">
              <w:t>Metodologías</w:t>
            </w:r>
            <w:proofErr w:type="spellEnd"/>
            <w:r w:rsidRPr="009F6207">
              <w:t xml:space="preserve"> a </w:t>
            </w:r>
            <w:proofErr w:type="spellStart"/>
            <w:r w:rsidRPr="009F6207">
              <w:t>Distancia</w:t>
            </w:r>
            <w:proofErr w:type="spellEnd"/>
          </w:p>
        </w:tc>
        <w:tc>
          <w:tcPr>
            <w:tcW w:w="999" w:type="dxa"/>
            <w:tcBorders>
              <w:top w:val="nil"/>
              <w:left w:val="nil"/>
              <w:bottom w:val="single" w:sz="4" w:space="0" w:color="BFBFBF" w:themeColor="background1" w:themeShade="BF"/>
              <w:right w:val="nil"/>
            </w:tcBorders>
            <w:shd w:val="clear" w:color="auto" w:fill="415E78"/>
            <w:vAlign w:val="center"/>
          </w:tcPr>
          <w:p w14:paraId="0141BF79" w14:textId="53C51AA5" w:rsidR="00CE316F" w:rsidRPr="009F6207" w:rsidRDefault="00CE316F" w:rsidP="000829BE">
            <w:pPr>
              <w:pStyle w:val="TablWhiteHeading0MArgins"/>
              <w:rPr>
                <w:i/>
                <w:iCs/>
              </w:rPr>
            </w:pPr>
            <w:r w:rsidRPr="009F6207">
              <w:rPr>
                <w:rStyle w:val="Emphasis"/>
                <w:i w:val="0"/>
                <w:iCs w:val="0"/>
              </w:rPr>
              <w:t>Ti</w:t>
            </w:r>
            <w:r w:rsidR="009F6207" w:rsidRPr="009F6207">
              <w:rPr>
                <w:rStyle w:val="Emphasis"/>
                <w:i w:val="0"/>
                <w:iCs w:val="0"/>
              </w:rPr>
              <w:t>empo</w:t>
            </w:r>
          </w:p>
        </w:tc>
      </w:tr>
      <w:tr w:rsidR="00CE316F" w:rsidRPr="00B11BDB" w14:paraId="5EC2E405" w14:textId="77777777" w:rsidTr="00272067">
        <w:tc>
          <w:tcPr>
            <w:tcW w:w="7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EEF733" w14:textId="54D9928E" w:rsidR="008C1256" w:rsidRDefault="00100672" w:rsidP="000829BE">
            <w:pPr>
              <w:pStyle w:val="TableSmallBlueHeading"/>
            </w:pPr>
            <w:proofErr w:type="spellStart"/>
            <w:r w:rsidRPr="00100672">
              <w:t>Estrategias</w:t>
            </w:r>
            <w:proofErr w:type="spellEnd"/>
            <w:r w:rsidRPr="00100672">
              <w:t xml:space="preserve"> de PN: norma 15 a norma 20</w:t>
            </w:r>
            <w:r w:rsidR="006528EF">
              <w:t xml:space="preserve"> </w:t>
            </w:r>
          </w:p>
          <w:p w14:paraId="6550EF71" w14:textId="77777777" w:rsidR="006528EF" w:rsidRDefault="006528EF" w:rsidP="006528EF">
            <w:pPr>
              <w:rPr>
                <w:color w:val="000000"/>
                <w:highlight w:val="white"/>
              </w:rPr>
            </w:pPr>
            <w:r>
              <w:rPr>
                <w:b/>
              </w:rPr>
              <w:t xml:space="preserve">Diga: </w:t>
            </w:r>
            <w:r>
              <w:t xml:space="preserve">El Pilar 3 se centra </w:t>
            </w:r>
            <w:proofErr w:type="spellStart"/>
            <w:r>
              <w:t>en</w:t>
            </w:r>
            <w:proofErr w:type="spellEnd"/>
            <w:r>
              <w:t xml:space="preserve"> las </w:t>
            </w:r>
            <w:proofErr w:type="spellStart"/>
            <w:r>
              <w:t>estrategias</w:t>
            </w:r>
            <w:proofErr w:type="spellEnd"/>
            <w:r>
              <w:t xml:space="preserve"> y </w:t>
            </w:r>
            <w:proofErr w:type="spellStart"/>
            <w:r>
              <w:t>contiene</w:t>
            </w:r>
            <w:proofErr w:type="spellEnd"/>
            <w:r>
              <w:t xml:space="preserve"> </w:t>
            </w:r>
            <w:proofErr w:type="spellStart"/>
            <w:r>
              <w:t>siete</w:t>
            </w:r>
            <w:proofErr w:type="spellEnd"/>
            <w:r>
              <w:t xml:space="preserve"> </w:t>
            </w:r>
            <w:proofErr w:type="spellStart"/>
            <w:r>
              <w:t>normas</w:t>
            </w:r>
            <w:proofErr w:type="spellEnd"/>
            <w:r>
              <w:t xml:space="preserve"> que </w:t>
            </w:r>
            <w:proofErr w:type="spellStart"/>
            <w:r>
              <w:t>detallan</w:t>
            </w:r>
            <w:proofErr w:type="spellEnd"/>
            <w:r>
              <w:t xml:space="preserve"> </w:t>
            </w:r>
            <w:proofErr w:type="spellStart"/>
            <w:r>
              <w:t>estrategias</w:t>
            </w:r>
            <w:proofErr w:type="spellEnd"/>
            <w:r>
              <w:t xml:space="preserve"> </w:t>
            </w:r>
            <w:proofErr w:type="spellStart"/>
            <w:r>
              <w:t>específicas</w:t>
            </w:r>
            <w:proofErr w:type="spellEnd"/>
            <w:r>
              <w:t xml:space="preserve">. Se </w:t>
            </w:r>
            <w:proofErr w:type="spellStart"/>
            <w:r>
              <w:t>trata</w:t>
            </w:r>
            <w:proofErr w:type="spellEnd"/>
            <w:r>
              <w:t xml:space="preserve"> de las </w:t>
            </w:r>
            <w:proofErr w:type="spellStart"/>
            <w:r>
              <w:t>normas</w:t>
            </w:r>
            <w:proofErr w:type="spellEnd"/>
            <w:r>
              <w:t xml:space="preserve"> 14 a 20. La norma 14 es la norma </w:t>
            </w:r>
            <w:proofErr w:type="spellStart"/>
            <w:r>
              <w:t>relacionada</w:t>
            </w:r>
            <w:proofErr w:type="spellEnd"/>
            <w:r>
              <w:t xml:space="preserve"> con </w:t>
            </w:r>
            <w:proofErr w:type="spellStart"/>
            <w:r>
              <w:t>el</w:t>
            </w:r>
            <w:proofErr w:type="spellEnd"/>
            <w:r>
              <w:t xml:space="preserve"> </w:t>
            </w:r>
            <w:proofErr w:type="spellStart"/>
            <w:r>
              <w:t>modelo</w:t>
            </w:r>
            <w:proofErr w:type="spellEnd"/>
            <w:r>
              <w:t xml:space="preserve"> </w:t>
            </w:r>
            <w:proofErr w:type="spellStart"/>
            <w:r>
              <w:t>socioecológico</w:t>
            </w:r>
            <w:proofErr w:type="spellEnd"/>
            <w:r>
              <w:t xml:space="preserve"> del que </w:t>
            </w:r>
            <w:proofErr w:type="spellStart"/>
            <w:r>
              <w:t>ya</w:t>
            </w:r>
            <w:proofErr w:type="spellEnd"/>
            <w:r>
              <w:t xml:space="preserve"> </w:t>
            </w:r>
            <w:proofErr w:type="spellStart"/>
            <w:r>
              <w:t>hemos</w:t>
            </w:r>
            <w:proofErr w:type="spellEnd"/>
            <w:r>
              <w:t xml:space="preserve"> </w:t>
            </w:r>
            <w:proofErr w:type="spellStart"/>
            <w:r>
              <w:t>hablado</w:t>
            </w:r>
            <w:proofErr w:type="spellEnd"/>
            <w:r>
              <w:t xml:space="preserve">. </w:t>
            </w:r>
            <w:proofErr w:type="spellStart"/>
            <w:r>
              <w:t>Ahora</w:t>
            </w:r>
            <w:proofErr w:type="spellEnd"/>
            <w:r>
              <w:t xml:space="preserve"> </w:t>
            </w:r>
            <w:proofErr w:type="spellStart"/>
            <w:r>
              <w:t>vamos</w:t>
            </w:r>
            <w:proofErr w:type="spellEnd"/>
            <w:r>
              <w:t xml:space="preserve"> a </w:t>
            </w:r>
            <w:proofErr w:type="spellStart"/>
            <w:r>
              <w:t>tratar</w:t>
            </w:r>
            <w:proofErr w:type="spellEnd"/>
            <w:r>
              <w:t xml:space="preserve"> las </w:t>
            </w:r>
            <w:proofErr w:type="spellStart"/>
            <w:r>
              <w:t>demás</w:t>
            </w:r>
            <w:proofErr w:type="spellEnd"/>
            <w:r>
              <w:t xml:space="preserve"> </w:t>
            </w:r>
            <w:proofErr w:type="spellStart"/>
            <w:r>
              <w:t>normas</w:t>
            </w:r>
            <w:proofErr w:type="spellEnd"/>
            <w:r>
              <w:t>.</w:t>
            </w:r>
            <w:r>
              <w:rPr>
                <w:color w:val="000000"/>
                <w:highlight w:val="white"/>
              </w:rPr>
              <w:t xml:space="preserve"> </w:t>
            </w:r>
          </w:p>
          <w:p w14:paraId="0B1DF97B" w14:textId="6CC21F53" w:rsidR="00B10AE4" w:rsidRPr="006528EF" w:rsidRDefault="006528EF" w:rsidP="006528EF">
            <w:pPr>
              <w:rPr>
                <w:color w:val="000000"/>
                <w:highlight w:val="white"/>
              </w:rPr>
            </w:pPr>
            <w:proofErr w:type="spellStart"/>
            <w:r>
              <w:rPr>
                <w:b/>
                <w:color w:val="000000"/>
              </w:rPr>
              <w:t>Instrucciones</w:t>
            </w:r>
            <w:proofErr w:type="spellEnd"/>
            <w:r>
              <w:rPr>
                <w:b/>
                <w:color w:val="000000"/>
              </w:rPr>
              <w:t xml:space="preserve">: </w:t>
            </w:r>
            <w:r>
              <w:rPr>
                <w:color w:val="000000"/>
              </w:rPr>
              <w:t>(</w:t>
            </w:r>
            <w:proofErr w:type="spellStart"/>
            <w:r>
              <w:rPr>
                <w:color w:val="000000"/>
              </w:rPr>
              <w:t>Diapositiva</w:t>
            </w:r>
            <w:proofErr w:type="spellEnd"/>
            <w:r>
              <w:rPr>
                <w:color w:val="000000"/>
              </w:rPr>
              <w:t xml:space="preserve"> 32)</w:t>
            </w:r>
            <w:r>
              <w:rPr>
                <w:b/>
                <w:color w:val="000000"/>
              </w:rPr>
              <w:t xml:space="preserve"> </w:t>
            </w:r>
            <w:r>
              <w:rPr>
                <w:color w:val="000000"/>
              </w:rPr>
              <w:t xml:space="preserve">vas a </w:t>
            </w:r>
            <w:proofErr w:type="spellStart"/>
            <w:r>
              <w:rPr>
                <w:color w:val="000000"/>
              </w:rPr>
              <w:t>trabajar</w:t>
            </w:r>
            <w:proofErr w:type="spellEnd"/>
            <w:r>
              <w:rPr>
                <w:color w:val="000000"/>
              </w:rPr>
              <w:t xml:space="preserve"> </w:t>
            </w:r>
            <w:proofErr w:type="spellStart"/>
            <w:r>
              <w:rPr>
                <w:color w:val="000000"/>
              </w:rPr>
              <w:t>en</w:t>
            </w:r>
            <w:proofErr w:type="spellEnd"/>
            <w:r>
              <w:rPr>
                <w:color w:val="000000"/>
              </w:rPr>
              <w:t xml:space="preserve"> 6 </w:t>
            </w:r>
            <w:proofErr w:type="spellStart"/>
            <w:r>
              <w:rPr>
                <w:color w:val="000000"/>
              </w:rPr>
              <w:t>grupos</w:t>
            </w:r>
            <w:proofErr w:type="spellEnd"/>
            <w:r>
              <w:rPr>
                <w:color w:val="000000"/>
              </w:rPr>
              <w:t xml:space="preserve"> para </w:t>
            </w:r>
            <w:proofErr w:type="spellStart"/>
            <w:r>
              <w:rPr>
                <w:color w:val="000000"/>
              </w:rPr>
              <w:t>revisar</w:t>
            </w:r>
            <w:proofErr w:type="spellEnd"/>
            <w:r>
              <w:rPr>
                <w:color w:val="000000"/>
              </w:rPr>
              <w:t xml:space="preserve"> </w:t>
            </w:r>
            <w:proofErr w:type="spellStart"/>
            <w:r>
              <w:rPr>
                <w:color w:val="000000"/>
              </w:rPr>
              <w:t>algunos</w:t>
            </w:r>
            <w:proofErr w:type="spellEnd"/>
            <w:r>
              <w:rPr>
                <w:color w:val="000000"/>
              </w:rPr>
              <w:t xml:space="preserve"> </w:t>
            </w:r>
            <w:proofErr w:type="spellStart"/>
            <w:r>
              <w:rPr>
                <w:color w:val="000000"/>
              </w:rPr>
              <w:t>casos</w:t>
            </w:r>
            <w:proofErr w:type="spellEnd"/>
            <w:r>
              <w:rPr>
                <w:color w:val="000000"/>
              </w:rPr>
              <w:t xml:space="preserve"> </w:t>
            </w:r>
            <w:proofErr w:type="spellStart"/>
            <w:r>
              <w:rPr>
                <w:color w:val="000000"/>
              </w:rPr>
              <w:t>prácticos</w:t>
            </w:r>
            <w:proofErr w:type="spellEnd"/>
            <w:r>
              <w:rPr>
                <w:color w:val="000000"/>
              </w:rPr>
              <w:t xml:space="preserve">. En </w:t>
            </w:r>
            <w:proofErr w:type="spellStart"/>
            <w:r>
              <w:rPr>
                <w:color w:val="000000"/>
              </w:rPr>
              <w:t>su</w:t>
            </w:r>
            <w:proofErr w:type="spellEnd"/>
            <w:r>
              <w:rPr>
                <w:color w:val="000000"/>
              </w:rPr>
              <w:t xml:space="preserve"> </w:t>
            </w:r>
            <w:proofErr w:type="spellStart"/>
            <w:r>
              <w:rPr>
                <w:color w:val="000000"/>
              </w:rPr>
              <w:t>grupo</w:t>
            </w:r>
            <w:proofErr w:type="spellEnd"/>
            <w:r>
              <w:rPr>
                <w:color w:val="000000"/>
              </w:rPr>
              <w:t xml:space="preserve">, </w:t>
            </w:r>
            <w:proofErr w:type="spellStart"/>
            <w:r>
              <w:rPr>
                <w:color w:val="000000"/>
              </w:rPr>
              <w:t>decidan</w:t>
            </w:r>
            <w:proofErr w:type="spellEnd"/>
            <w:r>
              <w:rPr>
                <w:color w:val="000000"/>
              </w:rPr>
              <w:t xml:space="preserve"> </w:t>
            </w:r>
            <w:proofErr w:type="spellStart"/>
            <w:r>
              <w:rPr>
                <w:color w:val="000000"/>
              </w:rPr>
              <w:t>conjuntamente</w:t>
            </w:r>
            <w:proofErr w:type="spellEnd"/>
            <w:r>
              <w:rPr>
                <w:color w:val="000000"/>
              </w:rPr>
              <w:t xml:space="preserve"> </w:t>
            </w:r>
            <w:proofErr w:type="spellStart"/>
            <w:r>
              <w:rPr>
                <w:color w:val="000000"/>
              </w:rPr>
              <w:t>quién</w:t>
            </w:r>
            <w:proofErr w:type="spellEnd"/>
            <w:r>
              <w:rPr>
                <w:color w:val="000000"/>
              </w:rPr>
              <w:t xml:space="preserve"> </w:t>
            </w:r>
            <w:proofErr w:type="spellStart"/>
            <w:r>
              <w:rPr>
                <w:color w:val="000000"/>
              </w:rPr>
              <w:t>tendrá</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papel</w:t>
            </w:r>
            <w:proofErr w:type="spellEnd"/>
            <w:r>
              <w:rPr>
                <w:color w:val="000000"/>
              </w:rPr>
              <w:t xml:space="preserve"> de </w:t>
            </w:r>
            <w:proofErr w:type="spellStart"/>
            <w:r>
              <w:rPr>
                <w:color w:val="000000"/>
              </w:rPr>
              <w:t>anfitrión</w:t>
            </w:r>
            <w:proofErr w:type="spellEnd"/>
            <w:r>
              <w:rPr>
                <w:color w:val="000000"/>
              </w:rPr>
              <w:t xml:space="preserve"> de la mesa e </w:t>
            </w:r>
            <w:proofErr w:type="spellStart"/>
            <w:r>
              <w:rPr>
                <w:color w:val="000000"/>
              </w:rPr>
              <w:t>informará</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sesión</w:t>
            </w:r>
            <w:proofErr w:type="spellEnd"/>
            <w:r>
              <w:rPr>
                <w:color w:val="000000"/>
              </w:rPr>
              <w:t xml:space="preserve"> </w:t>
            </w:r>
            <w:proofErr w:type="spellStart"/>
            <w:r>
              <w:rPr>
                <w:color w:val="000000"/>
              </w:rPr>
              <w:t>plenaria</w:t>
            </w:r>
            <w:proofErr w:type="spellEnd"/>
            <w:r>
              <w:rPr>
                <w:color w:val="000000"/>
              </w:rPr>
              <w:t xml:space="preserve"> al final del </w:t>
            </w:r>
            <w:proofErr w:type="spellStart"/>
            <w:r>
              <w:rPr>
                <w:color w:val="000000"/>
              </w:rPr>
              <w:t>ejercicio</w:t>
            </w:r>
            <w:proofErr w:type="spellEnd"/>
            <w:r>
              <w:rPr>
                <w:color w:val="000000"/>
              </w:rPr>
              <w:t xml:space="preserve">. A </w:t>
            </w:r>
            <w:proofErr w:type="spellStart"/>
            <w:r>
              <w:rPr>
                <w:color w:val="000000"/>
              </w:rPr>
              <w:t>continuación</w:t>
            </w:r>
            <w:proofErr w:type="spellEnd"/>
            <w:r>
              <w:rPr>
                <w:color w:val="000000"/>
              </w:rPr>
              <w:t xml:space="preserve">, </w:t>
            </w:r>
            <w:proofErr w:type="spellStart"/>
            <w:r>
              <w:rPr>
                <w:color w:val="000000"/>
              </w:rPr>
              <w:t>dispondrán</w:t>
            </w:r>
            <w:proofErr w:type="spellEnd"/>
            <w:r>
              <w:rPr>
                <w:color w:val="000000"/>
              </w:rPr>
              <w:t xml:space="preserve"> de 15 </w:t>
            </w:r>
            <w:proofErr w:type="spellStart"/>
            <w:r>
              <w:rPr>
                <w:color w:val="000000"/>
              </w:rPr>
              <w:t>minutos</w:t>
            </w:r>
            <w:proofErr w:type="spellEnd"/>
            <w:r>
              <w:rPr>
                <w:color w:val="000000"/>
              </w:rPr>
              <w:t xml:space="preserve"> para leer </w:t>
            </w:r>
            <w:proofErr w:type="spellStart"/>
            <w:r>
              <w:rPr>
                <w:color w:val="000000"/>
              </w:rPr>
              <w:t>el</w:t>
            </w:r>
            <w:proofErr w:type="spellEnd"/>
            <w:r>
              <w:rPr>
                <w:color w:val="000000"/>
              </w:rPr>
              <w:t xml:space="preserve"> primer </w:t>
            </w:r>
            <w:proofErr w:type="spellStart"/>
            <w:r>
              <w:rPr>
                <w:color w:val="000000"/>
              </w:rPr>
              <w:t>estudio</w:t>
            </w:r>
            <w:proofErr w:type="spellEnd"/>
            <w:r>
              <w:rPr>
                <w:color w:val="000000"/>
              </w:rPr>
              <w:t xml:space="preserve"> de </w:t>
            </w:r>
            <w:proofErr w:type="spellStart"/>
            <w:r>
              <w:rPr>
                <w:color w:val="000000"/>
              </w:rPr>
              <w:t>caso</w:t>
            </w:r>
            <w:proofErr w:type="spellEnd"/>
            <w:r>
              <w:rPr>
                <w:color w:val="000000"/>
              </w:rPr>
              <w:t xml:space="preserve"> y para </w:t>
            </w:r>
            <w:proofErr w:type="spellStart"/>
            <w:r>
              <w:rPr>
                <w:color w:val="000000"/>
              </w:rPr>
              <w:t>debatir</w:t>
            </w:r>
            <w:proofErr w:type="spellEnd"/>
            <w:r>
              <w:rPr>
                <w:color w:val="000000"/>
              </w:rPr>
              <w:t xml:space="preserve"> y responder a dos </w:t>
            </w:r>
            <w:proofErr w:type="spellStart"/>
            <w:r>
              <w:rPr>
                <w:color w:val="000000"/>
              </w:rPr>
              <w:t>preguntas</w:t>
            </w:r>
            <w:proofErr w:type="spellEnd"/>
            <w:r w:rsidR="00B10AE4" w:rsidRPr="00B10AE4">
              <w:t xml:space="preserve">: </w:t>
            </w:r>
          </w:p>
          <w:p w14:paraId="6E9BAAF1" w14:textId="77777777" w:rsidR="00C17D90" w:rsidRDefault="00C17D90" w:rsidP="00C17D90">
            <w:pPr>
              <w:pStyle w:val="NormalTextBulletsLevel1"/>
            </w:pPr>
            <w:r>
              <w:t>¿</w:t>
            </w:r>
            <w:proofErr w:type="spellStart"/>
            <w:r>
              <w:t>Qué</w:t>
            </w:r>
            <w:proofErr w:type="spellEnd"/>
            <w:r>
              <w:t xml:space="preserve"> norma (15-20) es </w:t>
            </w:r>
            <w:proofErr w:type="spellStart"/>
            <w:r>
              <w:t>más</w:t>
            </w:r>
            <w:proofErr w:type="spellEnd"/>
            <w:r>
              <w:t xml:space="preserve"> </w:t>
            </w:r>
            <w:proofErr w:type="spellStart"/>
            <w:r>
              <w:t>relevante</w:t>
            </w:r>
            <w:proofErr w:type="spellEnd"/>
            <w:r>
              <w:t xml:space="preserve"> para </w:t>
            </w:r>
            <w:proofErr w:type="spellStart"/>
            <w:r>
              <w:t>el</w:t>
            </w:r>
            <w:proofErr w:type="spellEnd"/>
            <w:r>
              <w:t xml:space="preserve"> </w:t>
            </w:r>
            <w:proofErr w:type="spellStart"/>
            <w:r>
              <w:t>estudio</w:t>
            </w:r>
            <w:proofErr w:type="spellEnd"/>
            <w:r>
              <w:t xml:space="preserve"> de </w:t>
            </w:r>
            <w:proofErr w:type="spellStart"/>
            <w:r>
              <w:t>caso</w:t>
            </w:r>
            <w:proofErr w:type="spellEnd"/>
            <w:r>
              <w:t>?</w:t>
            </w:r>
          </w:p>
          <w:p w14:paraId="6935FD03" w14:textId="13632ABC" w:rsidR="00743978" w:rsidRPr="00743978" w:rsidRDefault="00C17D90" w:rsidP="00C17D90">
            <w:pPr>
              <w:pStyle w:val="NormalTextBulletsLevel1"/>
            </w:pPr>
            <w:r>
              <w:t>¿</w:t>
            </w:r>
            <w:proofErr w:type="spellStart"/>
            <w:r>
              <w:t>Qué</w:t>
            </w:r>
            <w:proofErr w:type="spellEnd"/>
            <w:r>
              <w:t xml:space="preserve"> </w:t>
            </w:r>
            <w:proofErr w:type="spellStart"/>
            <w:r>
              <w:t>acciones</w:t>
            </w:r>
            <w:proofErr w:type="spellEnd"/>
            <w:r>
              <w:t xml:space="preserve"> clave de la norma se </w:t>
            </w:r>
            <w:proofErr w:type="spellStart"/>
            <w:r>
              <w:t>incluyen</w:t>
            </w:r>
            <w:proofErr w:type="spellEnd"/>
            <w:r>
              <w:t>/</w:t>
            </w:r>
            <w:proofErr w:type="spellStart"/>
            <w:r>
              <w:t>describen</w:t>
            </w:r>
            <w:proofErr w:type="spellEnd"/>
            <w:r>
              <w:t xml:space="preserve"> </w:t>
            </w:r>
            <w:proofErr w:type="spellStart"/>
            <w:r>
              <w:t>en</w:t>
            </w:r>
            <w:proofErr w:type="spellEnd"/>
            <w:r>
              <w:t xml:space="preserve"> </w:t>
            </w:r>
            <w:proofErr w:type="spellStart"/>
            <w:r>
              <w:t>el</w:t>
            </w:r>
            <w:proofErr w:type="spellEnd"/>
            <w:r>
              <w:t xml:space="preserve"> </w:t>
            </w:r>
            <w:proofErr w:type="spellStart"/>
            <w:r>
              <w:t>estudio</w:t>
            </w:r>
            <w:proofErr w:type="spellEnd"/>
            <w:r>
              <w:t xml:space="preserve"> de </w:t>
            </w:r>
            <w:proofErr w:type="spellStart"/>
            <w:r>
              <w:t>caso</w:t>
            </w:r>
            <w:proofErr w:type="spellEnd"/>
            <w:r>
              <w:t>?</w:t>
            </w:r>
          </w:p>
          <w:p w14:paraId="502695E2" w14:textId="77777777" w:rsidR="00605688" w:rsidRDefault="00605688" w:rsidP="00605688">
            <w:proofErr w:type="spellStart"/>
            <w:r>
              <w:t>Anote</w:t>
            </w:r>
            <w:proofErr w:type="spellEnd"/>
            <w:r>
              <w:t xml:space="preserve"> sus </w:t>
            </w:r>
            <w:proofErr w:type="spellStart"/>
            <w:r>
              <w:t>respuestas</w:t>
            </w:r>
            <w:proofErr w:type="spellEnd"/>
            <w:r>
              <w:t xml:space="preserve"> </w:t>
            </w:r>
            <w:proofErr w:type="spellStart"/>
            <w:r>
              <w:t>en</w:t>
            </w:r>
            <w:proofErr w:type="spellEnd"/>
            <w:r>
              <w:t xml:space="preserve"> un </w:t>
            </w:r>
            <w:proofErr w:type="spellStart"/>
            <w:r>
              <w:t>rotafolio</w:t>
            </w:r>
            <w:proofErr w:type="spellEnd"/>
            <w:r>
              <w:t xml:space="preserve">. </w:t>
            </w:r>
          </w:p>
          <w:p w14:paraId="20836BA6" w14:textId="00A8A380" w:rsidR="00A11CF9" w:rsidRDefault="00605688" w:rsidP="00605688">
            <w:proofErr w:type="spellStart"/>
            <w:r>
              <w:t>Transcurridos</w:t>
            </w:r>
            <w:proofErr w:type="spellEnd"/>
            <w:r>
              <w:t xml:space="preserve"> 15 </w:t>
            </w:r>
            <w:proofErr w:type="spellStart"/>
            <w:r>
              <w:t>minutos</w:t>
            </w:r>
            <w:proofErr w:type="spellEnd"/>
            <w:r>
              <w:t xml:space="preserve">, </w:t>
            </w:r>
            <w:proofErr w:type="spellStart"/>
            <w:r>
              <w:t>pida</w:t>
            </w:r>
            <w:proofErr w:type="spellEnd"/>
            <w:r>
              <w:t xml:space="preserve"> a </w:t>
            </w:r>
            <w:proofErr w:type="spellStart"/>
            <w:r>
              <w:t>los</w:t>
            </w:r>
            <w:proofErr w:type="spellEnd"/>
            <w:r>
              <w:t xml:space="preserve"> </w:t>
            </w:r>
            <w:proofErr w:type="spellStart"/>
            <w:r>
              <w:t>Anfitriones</w:t>
            </w:r>
            <w:proofErr w:type="spellEnd"/>
            <w:r>
              <w:t xml:space="preserve"> de Mesa que se </w:t>
            </w:r>
            <w:proofErr w:type="spellStart"/>
            <w:r>
              <w:t>queden</w:t>
            </w:r>
            <w:proofErr w:type="spellEnd"/>
            <w:r>
              <w:t xml:space="preserve"> </w:t>
            </w:r>
            <w:proofErr w:type="spellStart"/>
            <w:r>
              <w:t>donde</w:t>
            </w:r>
            <w:proofErr w:type="spellEnd"/>
            <w:r>
              <w:t xml:space="preserve"> </w:t>
            </w:r>
            <w:proofErr w:type="spellStart"/>
            <w:r>
              <w:t>están</w:t>
            </w:r>
            <w:proofErr w:type="spellEnd"/>
            <w:r>
              <w:t xml:space="preserve"> y a </w:t>
            </w:r>
            <w:proofErr w:type="spellStart"/>
            <w:r>
              <w:t>los</w:t>
            </w:r>
            <w:proofErr w:type="spellEnd"/>
            <w:r>
              <w:t xml:space="preserve"> </w:t>
            </w:r>
            <w:proofErr w:type="spellStart"/>
            <w:r>
              <w:t>demás</w:t>
            </w:r>
            <w:proofErr w:type="spellEnd"/>
            <w:r>
              <w:t xml:space="preserve"> </w:t>
            </w:r>
            <w:proofErr w:type="spellStart"/>
            <w:r>
              <w:t>participantes</w:t>
            </w:r>
            <w:proofErr w:type="spellEnd"/>
            <w:r>
              <w:t xml:space="preserve"> que </w:t>
            </w:r>
            <w:proofErr w:type="spellStart"/>
            <w:r>
              <w:t>pasen</w:t>
            </w:r>
            <w:proofErr w:type="spellEnd"/>
            <w:r>
              <w:t xml:space="preserve"> al </w:t>
            </w:r>
            <w:proofErr w:type="spellStart"/>
            <w:r>
              <w:t>siguiente</w:t>
            </w:r>
            <w:proofErr w:type="spellEnd"/>
            <w:r>
              <w:t xml:space="preserve"> </w:t>
            </w:r>
            <w:proofErr w:type="spellStart"/>
            <w:r>
              <w:t>estudio</w:t>
            </w:r>
            <w:proofErr w:type="spellEnd"/>
            <w:r>
              <w:t xml:space="preserve"> de </w:t>
            </w:r>
            <w:proofErr w:type="spellStart"/>
            <w:r>
              <w:t>caso</w:t>
            </w:r>
            <w:proofErr w:type="spellEnd"/>
            <w:r>
              <w:t xml:space="preserve">. Pida a </w:t>
            </w:r>
            <w:proofErr w:type="spellStart"/>
            <w:r>
              <w:t>los</w:t>
            </w:r>
            <w:proofErr w:type="spellEnd"/>
            <w:r>
              <w:t xml:space="preserve"> </w:t>
            </w:r>
            <w:proofErr w:type="spellStart"/>
            <w:r>
              <w:t>participantes</w:t>
            </w:r>
            <w:proofErr w:type="spellEnd"/>
            <w:r>
              <w:t xml:space="preserve"> que lean </w:t>
            </w:r>
            <w:proofErr w:type="spellStart"/>
            <w:r>
              <w:t>el</w:t>
            </w:r>
            <w:proofErr w:type="spellEnd"/>
            <w:r>
              <w:t xml:space="preserve"> </w:t>
            </w:r>
            <w:proofErr w:type="spellStart"/>
            <w:r>
              <w:lastRenderedPageBreak/>
              <w:t>estudio</w:t>
            </w:r>
            <w:proofErr w:type="spellEnd"/>
            <w:r>
              <w:t xml:space="preserve"> de </w:t>
            </w:r>
            <w:proofErr w:type="spellStart"/>
            <w:r>
              <w:t>caso</w:t>
            </w:r>
            <w:proofErr w:type="spellEnd"/>
            <w:r>
              <w:t xml:space="preserve"> </w:t>
            </w:r>
            <w:proofErr w:type="spellStart"/>
            <w:r>
              <w:t>en</w:t>
            </w:r>
            <w:proofErr w:type="spellEnd"/>
            <w:r>
              <w:t xml:space="preserve"> </w:t>
            </w:r>
            <w:proofErr w:type="spellStart"/>
            <w:r>
              <w:t>esta</w:t>
            </w:r>
            <w:proofErr w:type="spellEnd"/>
            <w:r>
              <w:t xml:space="preserve"> mesa, </w:t>
            </w:r>
            <w:proofErr w:type="spellStart"/>
            <w:r>
              <w:t>repasen</w:t>
            </w:r>
            <w:proofErr w:type="spellEnd"/>
            <w:r>
              <w:t xml:space="preserve"> las </w:t>
            </w:r>
            <w:proofErr w:type="spellStart"/>
            <w:r>
              <w:t>respuestas</w:t>
            </w:r>
            <w:proofErr w:type="spellEnd"/>
            <w:r>
              <w:t xml:space="preserve"> dadas </w:t>
            </w:r>
            <w:proofErr w:type="spellStart"/>
            <w:r>
              <w:t>por</w:t>
            </w:r>
            <w:proofErr w:type="spellEnd"/>
            <w:r>
              <w:t xml:space="preserve"> </w:t>
            </w:r>
            <w:proofErr w:type="spellStart"/>
            <w:r>
              <w:t>el</w:t>
            </w:r>
            <w:proofErr w:type="spellEnd"/>
            <w:r>
              <w:t xml:space="preserve"> </w:t>
            </w:r>
            <w:proofErr w:type="spellStart"/>
            <w:r>
              <w:t>grupo</w:t>
            </w:r>
            <w:proofErr w:type="spellEnd"/>
            <w:r>
              <w:t xml:space="preserve"> anterior y </w:t>
            </w:r>
            <w:proofErr w:type="spellStart"/>
            <w:r>
              <w:t>respondan</w:t>
            </w:r>
            <w:proofErr w:type="spellEnd"/>
            <w:r>
              <w:t xml:space="preserve"> a dos </w:t>
            </w:r>
            <w:proofErr w:type="spellStart"/>
            <w:r>
              <w:t>preguntas</w:t>
            </w:r>
            <w:proofErr w:type="spellEnd"/>
            <w:r>
              <w:t xml:space="preserve"> </w:t>
            </w:r>
            <w:proofErr w:type="spellStart"/>
            <w:r>
              <w:t>adicionales</w:t>
            </w:r>
            <w:proofErr w:type="spellEnd"/>
            <w:r w:rsidR="00A11CF9">
              <w:t xml:space="preserve">: </w:t>
            </w:r>
          </w:p>
          <w:p w14:paraId="29399CC3" w14:textId="77777777" w:rsidR="00F4037A" w:rsidRDefault="00F4037A" w:rsidP="00F4037A">
            <w:pPr>
              <w:pStyle w:val="NormalTextBulletsLevel1"/>
            </w:pPr>
            <w:r>
              <w:t>¿</w:t>
            </w:r>
            <w:proofErr w:type="spellStart"/>
            <w:r>
              <w:t>Qué</w:t>
            </w:r>
            <w:proofErr w:type="spellEnd"/>
            <w:r>
              <w:t xml:space="preserve"> </w:t>
            </w:r>
            <w:proofErr w:type="spellStart"/>
            <w:r>
              <w:t>otros</w:t>
            </w:r>
            <w:proofErr w:type="spellEnd"/>
            <w:r>
              <w:t xml:space="preserve"> </w:t>
            </w:r>
            <w:proofErr w:type="spellStart"/>
            <w:r>
              <w:t>tipos</w:t>
            </w:r>
            <w:proofErr w:type="spellEnd"/>
            <w:r>
              <w:t xml:space="preserve"> de </w:t>
            </w:r>
            <w:proofErr w:type="spellStart"/>
            <w:r>
              <w:t>programación</w:t>
            </w:r>
            <w:proofErr w:type="spellEnd"/>
            <w:r>
              <w:t xml:space="preserve"> </w:t>
            </w:r>
            <w:proofErr w:type="spellStart"/>
            <w:r>
              <w:t>pueden</w:t>
            </w:r>
            <w:proofErr w:type="spellEnd"/>
            <w:r>
              <w:t xml:space="preserve"> ser </w:t>
            </w:r>
            <w:proofErr w:type="spellStart"/>
            <w:r>
              <w:t>pertinentes</w:t>
            </w:r>
            <w:proofErr w:type="spellEnd"/>
            <w:r>
              <w:t xml:space="preserve"> para </w:t>
            </w:r>
            <w:proofErr w:type="spellStart"/>
            <w:r>
              <w:t>esta</w:t>
            </w:r>
            <w:proofErr w:type="spellEnd"/>
            <w:r>
              <w:t xml:space="preserve"> norma?</w:t>
            </w:r>
          </w:p>
          <w:p w14:paraId="4CD7EECA" w14:textId="60AFF0C7" w:rsidR="008C2AB3" w:rsidRPr="00D911C8" w:rsidRDefault="00F4037A" w:rsidP="00F4037A">
            <w:pPr>
              <w:pStyle w:val="NormalTextBulletsLevel1"/>
            </w:pPr>
            <w:r>
              <w:t>¿</w:t>
            </w:r>
            <w:proofErr w:type="spellStart"/>
            <w:r>
              <w:t>Sería</w:t>
            </w:r>
            <w:proofErr w:type="spellEnd"/>
            <w:r>
              <w:t xml:space="preserve"> </w:t>
            </w:r>
            <w:proofErr w:type="spellStart"/>
            <w:r>
              <w:t>pertinente</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 xml:space="preserve"> la </w:t>
            </w:r>
            <w:proofErr w:type="spellStart"/>
            <w:r>
              <w:t>intervención</w:t>
            </w:r>
            <w:proofErr w:type="spellEnd"/>
            <w:r>
              <w:t xml:space="preserve"> </w:t>
            </w:r>
            <w:proofErr w:type="spellStart"/>
            <w:r>
              <w:t>descrita</w:t>
            </w:r>
            <w:proofErr w:type="spellEnd"/>
            <w:r>
              <w:t xml:space="preserve">? </w:t>
            </w:r>
            <w:r w:rsidR="008C2AB3" w:rsidRPr="00F4037A">
              <w:rPr>
                <w:rFonts w:ascii="Arial" w:hAnsi="Arial" w:cs="Arial"/>
              </w:rPr>
              <w:t xml:space="preserve"> </w:t>
            </w:r>
          </w:p>
          <w:p w14:paraId="44025502" w14:textId="2F8AB7F1" w:rsidR="00D911C8" w:rsidRDefault="00545338" w:rsidP="000829BE">
            <w:proofErr w:type="spellStart"/>
            <w:r w:rsidRPr="00545338">
              <w:t>Transcurridos</w:t>
            </w:r>
            <w:proofErr w:type="spellEnd"/>
            <w:r w:rsidRPr="00545338">
              <w:t xml:space="preserve"> 15 </w:t>
            </w:r>
            <w:proofErr w:type="spellStart"/>
            <w:r w:rsidRPr="00545338">
              <w:t>minutos</w:t>
            </w:r>
            <w:proofErr w:type="spellEnd"/>
            <w:r w:rsidRPr="00545338">
              <w:t xml:space="preserve">, </w:t>
            </w:r>
            <w:proofErr w:type="spellStart"/>
            <w:r w:rsidRPr="00545338">
              <w:t>pide</w:t>
            </w:r>
            <w:proofErr w:type="spellEnd"/>
            <w:r w:rsidRPr="00545338">
              <w:t xml:space="preserve"> a </w:t>
            </w:r>
            <w:proofErr w:type="spellStart"/>
            <w:r w:rsidRPr="00545338">
              <w:t>los</w:t>
            </w:r>
            <w:proofErr w:type="spellEnd"/>
            <w:r w:rsidRPr="00545338">
              <w:t xml:space="preserve"> </w:t>
            </w:r>
            <w:proofErr w:type="spellStart"/>
            <w:r w:rsidRPr="00545338">
              <w:t>Anfitriones</w:t>
            </w:r>
            <w:proofErr w:type="spellEnd"/>
            <w:r w:rsidRPr="00545338">
              <w:t xml:space="preserve"> de Mesa que se </w:t>
            </w:r>
            <w:proofErr w:type="spellStart"/>
            <w:r w:rsidRPr="00545338">
              <w:t>queden</w:t>
            </w:r>
            <w:proofErr w:type="spellEnd"/>
            <w:r w:rsidRPr="00545338">
              <w:t xml:space="preserve"> </w:t>
            </w:r>
            <w:proofErr w:type="spellStart"/>
            <w:r w:rsidRPr="00545338">
              <w:t>donde</w:t>
            </w:r>
            <w:proofErr w:type="spellEnd"/>
            <w:r w:rsidRPr="00545338">
              <w:t xml:space="preserve"> </w:t>
            </w:r>
            <w:proofErr w:type="spellStart"/>
            <w:r w:rsidRPr="00545338">
              <w:t>están</w:t>
            </w:r>
            <w:proofErr w:type="spellEnd"/>
            <w:r w:rsidRPr="00545338">
              <w:t xml:space="preserve"> y a </w:t>
            </w:r>
            <w:proofErr w:type="spellStart"/>
            <w:r w:rsidRPr="00545338">
              <w:t>los</w:t>
            </w:r>
            <w:proofErr w:type="spellEnd"/>
            <w:r w:rsidRPr="00545338">
              <w:t xml:space="preserve"> </w:t>
            </w:r>
            <w:proofErr w:type="spellStart"/>
            <w:r w:rsidRPr="00545338">
              <w:t>demás</w:t>
            </w:r>
            <w:proofErr w:type="spellEnd"/>
            <w:r w:rsidRPr="00545338">
              <w:t xml:space="preserve"> </w:t>
            </w:r>
            <w:proofErr w:type="spellStart"/>
            <w:r w:rsidRPr="00545338">
              <w:t>participantes</w:t>
            </w:r>
            <w:proofErr w:type="spellEnd"/>
            <w:r w:rsidRPr="00545338">
              <w:t xml:space="preserve"> que </w:t>
            </w:r>
            <w:proofErr w:type="spellStart"/>
            <w:r w:rsidRPr="00545338">
              <w:t>pasen</w:t>
            </w:r>
            <w:proofErr w:type="spellEnd"/>
            <w:r w:rsidRPr="00545338">
              <w:t xml:space="preserve"> al </w:t>
            </w:r>
            <w:proofErr w:type="spellStart"/>
            <w:r w:rsidRPr="00545338">
              <w:t>siguiente</w:t>
            </w:r>
            <w:proofErr w:type="spellEnd"/>
            <w:r w:rsidRPr="00545338">
              <w:t xml:space="preserve"> </w:t>
            </w:r>
            <w:proofErr w:type="spellStart"/>
            <w:r w:rsidRPr="00545338">
              <w:t>estudio</w:t>
            </w:r>
            <w:proofErr w:type="spellEnd"/>
            <w:r w:rsidRPr="00545338">
              <w:t xml:space="preserve"> de </w:t>
            </w:r>
            <w:proofErr w:type="spellStart"/>
            <w:r w:rsidRPr="00545338">
              <w:t>caso</w:t>
            </w:r>
            <w:proofErr w:type="spellEnd"/>
            <w:r w:rsidRPr="00545338">
              <w:t xml:space="preserve">. </w:t>
            </w:r>
            <w:proofErr w:type="spellStart"/>
            <w:r w:rsidRPr="00545338">
              <w:t>Pide</w:t>
            </w:r>
            <w:proofErr w:type="spellEnd"/>
            <w:r w:rsidRPr="00545338">
              <w:t xml:space="preserve"> a </w:t>
            </w:r>
            <w:proofErr w:type="spellStart"/>
            <w:r w:rsidRPr="00545338">
              <w:t>los</w:t>
            </w:r>
            <w:proofErr w:type="spellEnd"/>
            <w:r w:rsidRPr="00545338">
              <w:t xml:space="preserve"> </w:t>
            </w:r>
            <w:proofErr w:type="spellStart"/>
            <w:r w:rsidRPr="00545338">
              <w:t>participantes</w:t>
            </w:r>
            <w:proofErr w:type="spellEnd"/>
            <w:r w:rsidRPr="00545338">
              <w:t xml:space="preserve"> que lean </w:t>
            </w:r>
            <w:proofErr w:type="spellStart"/>
            <w:r w:rsidRPr="00545338">
              <w:t>el</w:t>
            </w:r>
            <w:proofErr w:type="spellEnd"/>
            <w:r w:rsidRPr="00545338">
              <w:t xml:space="preserve"> </w:t>
            </w:r>
            <w:proofErr w:type="spellStart"/>
            <w:r w:rsidRPr="00545338">
              <w:t>estudio</w:t>
            </w:r>
            <w:proofErr w:type="spellEnd"/>
            <w:r w:rsidRPr="00545338">
              <w:t xml:space="preserve"> de </w:t>
            </w:r>
            <w:proofErr w:type="spellStart"/>
            <w:r w:rsidRPr="00545338">
              <w:t>caso</w:t>
            </w:r>
            <w:proofErr w:type="spellEnd"/>
            <w:r w:rsidRPr="00545338">
              <w:t xml:space="preserve"> </w:t>
            </w:r>
            <w:proofErr w:type="spellStart"/>
            <w:r w:rsidRPr="00545338">
              <w:t>en</w:t>
            </w:r>
            <w:proofErr w:type="spellEnd"/>
            <w:r w:rsidRPr="00545338">
              <w:t xml:space="preserve"> </w:t>
            </w:r>
            <w:proofErr w:type="spellStart"/>
            <w:r w:rsidRPr="00545338">
              <w:t>esta</w:t>
            </w:r>
            <w:proofErr w:type="spellEnd"/>
            <w:r w:rsidRPr="00545338">
              <w:t xml:space="preserve"> mesa, </w:t>
            </w:r>
            <w:proofErr w:type="spellStart"/>
            <w:r w:rsidRPr="00545338">
              <w:t>repasen</w:t>
            </w:r>
            <w:proofErr w:type="spellEnd"/>
            <w:r w:rsidRPr="00545338">
              <w:t xml:space="preserve"> las </w:t>
            </w:r>
            <w:proofErr w:type="spellStart"/>
            <w:r w:rsidRPr="00545338">
              <w:t>respuestas</w:t>
            </w:r>
            <w:proofErr w:type="spellEnd"/>
            <w:r w:rsidRPr="00545338">
              <w:t xml:space="preserve"> dadas </w:t>
            </w:r>
            <w:proofErr w:type="spellStart"/>
            <w:r w:rsidRPr="00545338">
              <w:t>por</w:t>
            </w:r>
            <w:proofErr w:type="spellEnd"/>
            <w:r w:rsidRPr="00545338">
              <w:t xml:space="preserve"> </w:t>
            </w:r>
            <w:proofErr w:type="spellStart"/>
            <w:r w:rsidRPr="00545338">
              <w:t>el</w:t>
            </w:r>
            <w:proofErr w:type="spellEnd"/>
            <w:r w:rsidRPr="00545338">
              <w:t xml:space="preserve"> </w:t>
            </w:r>
            <w:proofErr w:type="spellStart"/>
            <w:r w:rsidRPr="00545338">
              <w:t>grupo</w:t>
            </w:r>
            <w:proofErr w:type="spellEnd"/>
            <w:r w:rsidRPr="00545338">
              <w:t xml:space="preserve"> anterior y </w:t>
            </w:r>
            <w:proofErr w:type="spellStart"/>
            <w:r w:rsidRPr="00545338">
              <w:t>respondan</w:t>
            </w:r>
            <w:proofErr w:type="spellEnd"/>
            <w:r w:rsidRPr="00545338">
              <w:t xml:space="preserve"> a </w:t>
            </w:r>
            <w:proofErr w:type="spellStart"/>
            <w:r w:rsidRPr="00545338">
              <w:t>una</w:t>
            </w:r>
            <w:proofErr w:type="spellEnd"/>
            <w:r w:rsidRPr="00545338">
              <w:t xml:space="preserve"> </w:t>
            </w:r>
            <w:proofErr w:type="spellStart"/>
            <w:r w:rsidRPr="00545338">
              <w:t>pregunta</w:t>
            </w:r>
            <w:proofErr w:type="spellEnd"/>
            <w:r w:rsidRPr="00545338">
              <w:t xml:space="preserve"> </w:t>
            </w:r>
            <w:proofErr w:type="spellStart"/>
            <w:r w:rsidRPr="00545338">
              <w:t>adicional</w:t>
            </w:r>
            <w:proofErr w:type="spellEnd"/>
            <w:r w:rsidR="00D911C8">
              <w:t xml:space="preserve">: </w:t>
            </w:r>
          </w:p>
          <w:p w14:paraId="55789CB0" w14:textId="16165393" w:rsidR="00D9252D" w:rsidRDefault="00025C47" w:rsidP="00025C47">
            <w:pPr>
              <w:pStyle w:val="NormalTextBulletsLevel1"/>
            </w:pPr>
            <w:r w:rsidRPr="00025C47">
              <w:t>¿</w:t>
            </w:r>
            <w:proofErr w:type="spellStart"/>
            <w:r w:rsidRPr="00025C47">
              <w:t>Qué</w:t>
            </w:r>
            <w:proofErr w:type="spellEnd"/>
            <w:r w:rsidRPr="00025C47">
              <w:t xml:space="preserve"> </w:t>
            </w:r>
            <w:proofErr w:type="spellStart"/>
            <w:r w:rsidRPr="00025C47">
              <w:t>tipo</w:t>
            </w:r>
            <w:proofErr w:type="spellEnd"/>
            <w:r w:rsidRPr="00025C47">
              <w:t xml:space="preserve"> de </w:t>
            </w:r>
            <w:proofErr w:type="spellStart"/>
            <w:r w:rsidRPr="00025C47">
              <w:t>desafíos</w:t>
            </w:r>
            <w:proofErr w:type="spellEnd"/>
            <w:r w:rsidRPr="00025C47">
              <w:t xml:space="preserve"> </w:t>
            </w:r>
            <w:proofErr w:type="spellStart"/>
            <w:r w:rsidRPr="00025C47">
              <w:t>podría</w:t>
            </w:r>
            <w:proofErr w:type="spellEnd"/>
            <w:r w:rsidRPr="00025C47">
              <w:t xml:space="preserve"> </w:t>
            </w:r>
            <w:proofErr w:type="spellStart"/>
            <w:r w:rsidRPr="00025C47">
              <w:t>encontrar</w:t>
            </w:r>
            <w:proofErr w:type="spellEnd"/>
            <w:r w:rsidRPr="00025C47">
              <w:t xml:space="preserve"> con </w:t>
            </w:r>
            <w:proofErr w:type="spellStart"/>
            <w:r w:rsidRPr="00025C47">
              <w:t>esta</w:t>
            </w:r>
            <w:proofErr w:type="spellEnd"/>
            <w:r w:rsidRPr="00025C47">
              <w:t xml:space="preserve"> norma?</w:t>
            </w:r>
          </w:p>
          <w:p w14:paraId="1E7F5571" w14:textId="64DB592A" w:rsidR="00D9252D" w:rsidRDefault="00BC0CF4" w:rsidP="000829BE">
            <w:r w:rsidRPr="00BC0CF4">
              <w:t xml:space="preserve">En </w:t>
            </w:r>
            <w:proofErr w:type="spellStart"/>
            <w:r w:rsidRPr="00BC0CF4">
              <w:t>el</w:t>
            </w:r>
            <w:proofErr w:type="spellEnd"/>
            <w:r w:rsidRPr="00BC0CF4">
              <w:t xml:space="preserve"> Anexo 2.2 </w:t>
            </w:r>
            <w:proofErr w:type="spellStart"/>
            <w:r w:rsidRPr="00BC0CF4">
              <w:t>figuran</w:t>
            </w:r>
            <w:proofErr w:type="spellEnd"/>
            <w:r w:rsidRPr="00BC0CF4">
              <w:t xml:space="preserve"> </w:t>
            </w:r>
            <w:proofErr w:type="spellStart"/>
            <w:r w:rsidRPr="00BC0CF4">
              <w:t>estudios</w:t>
            </w:r>
            <w:proofErr w:type="spellEnd"/>
            <w:r w:rsidRPr="00BC0CF4">
              <w:t xml:space="preserve"> de </w:t>
            </w:r>
            <w:proofErr w:type="spellStart"/>
            <w:r w:rsidRPr="00BC0CF4">
              <w:t>casos</w:t>
            </w:r>
            <w:proofErr w:type="spellEnd"/>
            <w:r w:rsidR="00D9252D">
              <w:t xml:space="preserve">: </w:t>
            </w:r>
          </w:p>
          <w:p w14:paraId="1D0C3F51" w14:textId="4E26BC0F" w:rsidR="00887796" w:rsidRDefault="00887796" w:rsidP="00887796">
            <w:pPr>
              <w:pStyle w:val="NormalTextBulletsLevel1"/>
            </w:pPr>
            <w:r>
              <w:t xml:space="preserve">Norma 15, </w:t>
            </w:r>
            <w:proofErr w:type="spellStart"/>
            <w:r>
              <w:t>Actividades</w:t>
            </w:r>
            <w:proofErr w:type="spellEnd"/>
            <w:r>
              <w:t xml:space="preserve"> </w:t>
            </w:r>
            <w:proofErr w:type="spellStart"/>
            <w:r>
              <w:t>grupales</w:t>
            </w:r>
            <w:proofErr w:type="spellEnd"/>
            <w:r>
              <w:t xml:space="preserve"> para </w:t>
            </w:r>
            <w:proofErr w:type="spellStart"/>
            <w:r>
              <w:t>el</w:t>
            </w:r>
            <w:proofErr w:type="spellEnd"/>
            <w:r>
              <w:t xml:space="preserve"> </w:t>
            </w:r>
            <w:proofErr w:type="spellStart"/>
            <w:r>
              <w:t>bienestar</w:t>
            </w:r>
            <w:proofErr w:type="spellEnd"/>
            <w:r>
              <w:t xml:space="preserve"> del </w:t>
            </w:r>
            <w:proofErr w:type="spellStart"/>
            <w:r>
              <w:t>niño</w:t>
            </w:r>
            <w:proofErr w:type="spellEnd"/>
            <w:r>
              <w:t xml:space="preserve"> y de la </w:t>
            </w:r>
            <w:proofErr w:type="spellStart"/>
            <w:r>
              <w:t>niña</w:t>
            </w:r>
            <w:proofErr w:type="spellEnd"/>
            <w:r>
              <w:t xml:space="preserve">: </w:t>
            </w:r>
            <w:hyperlink r:id="rId9" w:history="1">
              <w:proofErr w:type="spellStart"/>
              <w:r w:rsidRPr="00957C07">
                <w:rPr>
                  <w:rStyle w:val="Hyperlink"/>
                  <w:color w:val="0070C0"/>
                </w:rPr>
                <w:t>Espacios</w:t>
              </w:r>
              <w:proofErr w:type="spellEnd"/>
              <w:r w:rsidRPr="00957C07">
                <w:rPr>
                  <w:rStyle w:val="Hyperlink"/>
                  <w:color w:val="0070C0"/>
                </w:rPr>
                <w:t xml:space="preserve"> </w:t>
              </w:r>
              <w:proofErr w:type="spellStart"/>
              <w:r w:rsidRPr="00957C07">
                <w:rPr>
                  <w:rStyle w:val="Hyperlink"/>
                  <w:color w:val="0070C0"/>
                </w:rPr>
                <w:t>móviles</w:t>
              </w:r>
              <w:proofErr w:type="spellEnd"/>
              <w:r w:rsidRPr="00957C07">
                <w:rPr>
                  <w:rStyle w:val="Hyperlink"/>
                  <w:color w:val="0070C0"/>
                </w:rPr>
                <w:t xml:space="preserve"> </w:t>
              </w:r>
              <w:proofErr w:type="spellStart"/>
              <w:r w:rsidRPr="00957C07">
                <w:rPr>
                  <w:rStyle w:val="Hyperlink"/>
                  <w:color w:val="0070C0"/>
                </w:rPr>
                <w:t>adaptados</w:t>
              </w:r>
              <w:proofErr w:type="spellEnd"/>
              <w:r w:rsidRPr="00957C07">
                <w:rPr>
                  <w:rStyle w:val="Hyperlink"/>
                  <w:color w:val="0070C0"/>
                </w:rPr>
                <w:t xml:space="preserve"> a </w:t>
              </w:r>
              <w:proofErr w:type="spellStart"/>
              <w:r w:rsidRPr="00957C07">
                <w:rPr>
                  <w:rStyle w:val="Hyperlink"/>
                  <w:color w:val="0070C0"/>
                </w:rPr>
                <w:t>los</w:t>
              </w:r>
              <w:proofErr w:type="spellEnd"/>
              <w:r w:rsidRPr="00957C07">
                <w:rPr>
                  <w:rStyle w:val="Hyperlink"/>
                  <w:color w:val="0070C0"/>
                </w:rPr>
                <w:t xml:space="preserve"> </w:t>
              </w:r>
              <w:proofErr w:type="spellStart"/>
              <w:r w:rsidRPr="00957C07">
                <w:rPr>
                  <w:rStyle w:val="Hyperlink"/>
                  <w:color w:val="0070C0"/>
                </w:rPr>
                <w:t>niños</w:t>
              </w:r>
              <w:proofErr w:type="spellEnd"/>
              <w:r w:rsidRPr="00957C07">
                <w:rPr>
                  <w:rStyle w:val="Hyperlink"/>
                  <w:color w:val="0070C0"/>
                </w:rPr>
                <w:t xml:space="preserve"> que </w:t>
              </w:r>
              <w:proofErr w:type="spellStart"/>
              <w:r w:rsidRPr="00957C07">
                <w:rPr>
                  <w:rStyle w:val="Hyperlink"/>
                  <w:color w:val="0070C0"/>
                </w:rPr>
                <w:t>trabajan</w:t>
              </w:r>
              <w:proofErr w:type="spellEnd"/>
              <w:r w:rsidRPr="00957C07">
                <w:rPr>
                  <w:rStyle w:val="Hyperlink"/>
                  <w:color w:val="0070C0"/>
                </w:rPr>
                <w:t xml:space="preserve"> y a las </w:t>
              </w:r>
              <w:proofErr w:type="spellStart"/>
              <w:r w:rsidRPr="00957C07">
                <w:rPr>
                  <w:rStyle w:val="Hyperlink"/>
                  <w:color w:val="0070C0"/>
                </w:rPr>
                <w:t>niñas</w:t>
              </w:r>
              <w:proofErr w:type="spellEnd"/>
              <w:r w:rsidRPr="00957C07">
                <w:rPr>
                  <w:rStyle w:val="Hyperlink"/>
                  <w:color w:val="0070C0"/>
                </w:rPr>
                <w:t xml:space="preserve"> que </w:t>
              </w:r>
              <w:proofErr w:type="spellStart"/>
              <w:r w:rsidRPr="00957C07">
                <w:rPr>
                  <w:rStyle w:val="Hyperlink"/>
                  <w:color w:val="0070C0"/>
                </w:rPr>
                <w:t>viven</w:t>
              </w:r>
              <w:proofErr w:type="spellEnd"/>
              <w:r w:rsidRPr="00957C07">
                <w:rPr>
                  <w:rStyle w:val="Hyperlink"/>
                  <w:color w:val="0070C0"/>
                </w:rPr>
                <w:t xml:space="preserve"> </w:t>
              </w:r>
              <w:proofErr w:type="spellStart"/>
              <w:r w:rsidRPr="00957C07">
                <w:rPr>
                  <w:rStyle w:val="Hyperlink"/>
                  <w:color w:val="0070C0"/>
                </w:rPr>
                <w:t>en</w:t>
              </w:r>
              <w:proofErr w:type="spellEnd"/>
              <w:r w:rsidRPr="00957C07">
                <w:rPr>
                  <w:rStyle w:val="Hyperlink"/>
                  <w:color w:val="0070C0"/>
                </w:rPr>
                <w:t xml:space="preserve"> casa </w:t>
              </w:r>
              <w:proofErr w:type="spellStart"/>
              <w:r w:rsidRPr="00957C07">
                <w:rPr>
                  <w:rStyle w:val="Hyperlink"/>
                  <w:color w:val="0070C0"/>
                </w:rPr>
                <w:t>en</w:t>
              </w:r>
              <w:proofErr w:type="spellEnd"/>
              <w:r w:rsidRPr="00957C07">
                <w:rPr>
                  <w:rStyle w:val="Hyperlink"/>
                  <w:color w:val="0070C0"/>
                </w:rPr>
                <w:t xml:space="preserve"> Jordania</w:t>
              </w:r>
            </w:hyperlink>
          </w:p>
          <w:p w14:paraId="79E5C01E" w14:textId="71C89643" w:rsidR="00887796" w:rsidRDefault="00887796" w:rsidP="00887796">
            <w:pPr>
              <w:pStyle w:val="NormalTextBulletsLevel1"/>
            </w:pPr>
            <w:r>
              <w:t xml:space="preserve">Norma 16,   </w:t>
            </w:r>
            <w:hyperlink r:id="rId10" w:history="1">
              <w:proofErr w:type="spellStart"/>
              <w:r w:rsidRPr="004E09CE">
                <w:rPr>
                  <w:rStyle w:val="Hyperlink"/>
                  <w:color w:val="0070C0"/>
                </w:rPr>
                <w:t>Fortalecimiento</w:t>
              </w:r>
              <w:proofErr w:type="spellEnd"/>
              <w:r w:rsidRPr="004E09CE">
                <w:rPr>
                  <w:rStyle w:val="Hyperlink"/>
                  <w:color w:val="0070C0"/>
                </w:rPr>
                <w:t xml:space="preserve"> de </w:t>
              </w:r>
              <w:proofErr w:type="spellStart"/>
              <w:r w:rsidRPr="004E09CE">
                <w:rPr>
                  <w:rStyle w:val="Hyperlink"/>
                  <w:color w:val="0070C0"/>
                </w:rPr>
                <w:t>entornos</w:t>
              </w:r>
              <w:proofErr w:type="spellEnd"/>
              <w:r w:rsidRPr="004E09CE">
                <w:rPr>
                  <w:rStyle w:val="Hyperlink"/>
                  <w:color w:val="0070C0"/>
                </w:rPr>
                <w:t xml:space="preserve"> </w:t>
              </w:r>
              <w:proofErr w:type="spellStart"/>
              <w:r w:rsidRPr="004E09CE">
                <w:rPr>
                  <w:rStyle w:val="Hyperlink"/>
                  <w:color w:val="0070C0"/>
                </w:rPr>
                <w:t>familiares</w:t>
              </w:r>
              <w:proofErr w:type="spellEnd"/>
              <w:r w:rsidRPr="004E09CE">
                <w:rPr>
                  <w:rStyle w:val="Hyperlink"/>
                  <w:color w:val="0070C0"/>
                </w:rPr>
                <w:t xml:space="preserve"> y </w:t>
              </w:r>
              <w:proofErr w:type="spellStart"/>
              <w:r w:rsidRPr="004E09CE">
                <w:rPr>
                  <w:rStyle w:val="Hyperlink"/>
                  <w:color w:val="0070C0"/>
                </w:rPr>
                <w:t>cuidadores</w:t>
              </w:r>
              <w:proofErr w:type="spellEnd"/>
              <w:r w:rsidRPr="004E09CE">
                <w:rPr>
                  <w:rStyle w:val="Hyperlink"/>
                  <w:color w:val="0070C0"/>
                </w:rPr>
                <w:t xml:space="preserve">: Crianza </w:t>
              </w:r>
              <w:proofErr w:type="spellStart"/>
              <w:r w:rsidRPr="004E09CE">
                <w:rPr>
                  <w:rStyle w:val="Hyperlink"/>
                  <w:color w:val="0070C0"/>
                </w:rPr>
                <w:t>en</w:t>
              </w:r>
              <w:proofErr w:type="spellEnd"/>
              <w:r w:rsidRPr="004E09CE">
                <w:rPr>
                  <w:rStyle w:val="Hyperlink"/>
                  <w:color w:val="0070C0"/>
                </w:rPr>
                <w:t xml:space="preserve"> </w:t>
              </w:r>
              <w:proofErr w:type="spellStart"/>
              <w:r w:rsidRPr="004E09CE">
                <w:rPr>
                  <w:rStyle w:val="Hyperlink"/>
                  <w:color w:val="0070C0"/>
                </w:rPr>
                <w:t>Situaciones</w:t>
              </w:r>
              <w:proofErr w:type="spellEnd"/>
              <w:r w:rsidRPr="004E09CE">
                <w:rPr>
                  <w:rStyle w:val="Hyperlink"/>
                  <w:color w:val="0070C0"/>
                </w:rPr>
                <w:t xml:space="preserve"> de </w:t>
              </w:r>
              <w:proofErr w:type="spellStart"/>
              <w:r w:rsidRPr="004E09CE">
                <w:rPr>
                  <w:rStyle w:val="Hyperlink"/>
                  <w:color w:val="0070C0"/>
                </w:rPr>
                <w:t>Desplazamiento</w:t>
              </w:r>
              <w:proofErr w:type="spellEnd"/>
              <w:r w:rsidRPr="004E09CE">
                <w:rPr>
                  <w:rStyle w:val="Hyperlink"/>
                  <w:color w:val="0070C0"/>
                </w:rPr>
                <w:t xml:space="preserve"> </w:t>
              </w:r>
            </w:hyperlink>
            <w:r w:rsidRPr="004E09CE">
              <w:rPr>
                <w:color w:val="0070C0"/>
              </w:rPr>
              <w:t xml:space="preserve"> </w:t>
            </w:r>
            <w:r>
              <w:t>(</w:t>
            </w:r>
            <w:proofErr w:type="spellStart"/>
            <w:r>
              <w:t>pág</w:t>
            </w:r>
            <w:proofErr w:type="spellEnd"/>
            <w:r>
              <w:t>. 4 y 5)</w:t>
            </w:r>
          </w:p>
          <w:p w14:paraId="7E0839DA" w14:textId="74D39B24" w:rsidR="00887796" w:rsidRDefault="00887796" w:rsidP="00887796">
            <w:pPr>
              <w:pStyle w:val="NormalTextBulletsLevel1"/>
            </w:pPr>
            <w:r>
              <w:t xml:space="preserve">Norma 17, </w:t>
            </w:r>
            <w:r w:rsidRPr="00D94923">
              <w:rPr>
                <w:color w:val="0070C0"/>
              </w:rPr>
              <w:t xml:space="preserve"> </w:t>
            </w:r>
            <w:hyperlink r:id="rId11" w:history="1">
              <w:proofErr w:type="spellStart"/>
              <w:r w:rsidRPr="00D94923">
                <w:rPr>
                  <w:rStyle w:val="Hyperlink"/>
                  <w:color w:val="0070C0"/>
                </w:rPr>
                <w:t>Enfoque</w:t>
              </w:r>
              <w:proofErr w:type="spellEnd"/>
              <w:r w:rsidRPr="00D94923">
                <w:rPr>
                  <w:rStyle w:val="Hyperlink"/>
                  <w:color w:val="0070C0"/>
                </w:rPr>
                <w:t xml:space="preserve"> a </w:t>
              </w:r>
              <w:proofErr w:type="spellStart"/>
              <w:r w:rsidRPr="00D94923">
                <w:rPr>
                  <w:rStyle w:val="Hyperlink"/>
                  <w:color w:val="0070C0"/>
                </w:rPr>
                <w:t>nivel</w:t>
              </w:r>
              <w:proofErr w:type="spellEnd"/>
              <w:r w:rsidRPr="00D94923">
                <w:rPr>
                  <w:rStyle w:val="Hyperlink"/>
                  <w:color w:val="0070C0"/>
                </w:rPr>
                <w:t xml:space="preserve"> </w:t>
              </w:r>
              <w:proofErr w:type="spellStart"/>
              <w:r w:rsidRPr="00D94923">
                <w:rPr>
                  <w:rStyle w:val="Hyperlink"/>
                  <w:color w:val="0070C0"/>
                </w:rPr>
                <w:t>comunitario</w:t>
              </w:r>
              <w:proofErr w:type="spellEnd"/>
              <w:r w:rsidRPr="00D94923">
                <w:rPr>
                  <w:rStyle w:val="Hyperlink"/>
                  <w:color w:val="0070C0"/>
                </w:rPr>
                <w:t xml:space="preserve">, </w:t>
              </w:r>
              <w:proofErr w:type="spellStart"/>
              <w:r w:rsidRPr="00D94923">
                <w:rPr>
                  <w:rStyle w:val="Hyperlink"/>
                  <w:color w:val="0070C0"/>
                </w:rPr>
                <w:t>Enfoque</w:t>
              </w:r>
              <w:proofErr w:type="spellEnd"/>
              <w:r w:rsidRPr="00D94923">
                <w:rPr>
                  <w:rStyle w:val="Hyperlink"/>
                  <w:color w:val="0070C0"/>
                </w:rPr>
                <w:t xml:space="preserve"> a </w:t>
              </w:r>
              <w:proofErr w:type="spellStart"/>
              <w:r w:rsidRPr="00D94923">
                <w:rPr>
                  <w:rStyle w:val="Hyperlink"/>
                  <w:color w:val="0070C0"/>
                </w:rPr>
                <w:t>nivel</w:t>
              </w:r>
              <w:proofErr w:type="spellEnd"/>
              <w:r w:rsidRPr="00D94923">
                <w:rPr>
                  <w:rStyle w:val="Hyperlink"/>
                  <w:color w:val="0070C0"/>
                </w:rPr>
                <w:t xml:space="preserve"> </w:t>
              </w:r>
              <w:proofErr w:type="spellStart"/>
              <w:r w:rsidRPr="00D94923">
                <w:rPr>
                  <w:rStyle w:val="Hyperlink"/>
                  <w:color w:val="0070C0"/>
                </w:rPr>
                <w:t>comunitario</w:t>
              </w:r>
              <w:proofErr w:type="spellEnd"/>
              <w:r w:rsidRPr="00D94923">
                <w:rPr>
                  <w:rStyle w:val="Hyperlink"/>
                  <w:color w:val="0070C0"/>
                </w:rPr>
                <w:t xml:space="preserve">: Una </w:t>
              </w:r>
              <w:proofErr w:type="spellStart"/>
              <w:r w:rsidRPr="00D94923">
                <w:rPr>
                  <w:rStyle w:val="Hyperlink"/>
                  <w:color w:val="0070C0"/>
                </w:rPr>
                <w:t>guía</w:t>
              </w:r>
              <w:proofErr w:type="spellEnd"/>
              <w:r w:rsidRPr="00D94923">
                <w:rPr>
                  <w:rStyle w:val="Hyperlink"/>
                  <w:color w:val="0070C0"/>
                </w:rPr>
                <w:t xml:space="preserve"> de campo </w:t>
              </w:r>
              <w:proofErr w:type="spellStart"/>
              <w:r w:rsidRPr="00D94923">
                <w:rPr>
                  <w:rStyle w:val="Hyperlink"/>
                  <w:color w:val="0070C0"/>
                </w:rPr>
                <w:t>reflexiva</w:t>
              </w:r>
              <w:proofErr w:type="spellEnd"/>
              <w:r w:rsidRPr="00D94923">
                <w:rPr>
                  <w:rStyle w:val="Hyperlink"/>
                  <w:color w:val="0070C0"/>
                </w:rPr>
                <w:t xml:space="preserve"> </w:t>
              </w:r>
            </w:hyperlink>
            <w:r>
              <w:t xml:space="preserve"> (</w:t>
            </w:r>
            <w:proofErr w:type="spellStart"/>
            <w:r>
              <w:t>pág</w:t>
            </w:r>
            <w:proofErr w:type="spellEnd"/>
            <w:r>
              <w:t>. 93 a 95)</w:t>
            </w:r>
          </w:p>
          <w:p w14:paraId="1CA0633F" w14:textId="77777777" w:rsidR="00887796" w:rsidRDefault="00887796" w:rsidP="00887796">
            <w:pPr>
              <w:pStyle w:val="NormalTextBulletsLevel1"/>
            </w:pPr>
            <w:r>
              <w:t xml:space="preserve">Norma 18, </w:t>
            </w:r>
            <w:proofErr w:type="spellStart"/>
            <w:r>
              <w:t>Gestión</w:t>
            </w:r>
            <w:proofErr w:type="spellEnd"/>
            <w:r>
              <w:t xml:space="preserve"> de Caso: Directrices </w:t>
            </w:r>
            <w:proofErr w:type="spellStart"/>
            <w:r>
              <w:t>Interinstitucionales</w:t>
            </w:r>
            <w:proofErr w:type="spellEnd"/>
            <w:r>
              <w:t xml:space="preserve"> para la </w:t>
            </w:r>
            <w:proofErr w:type="spellStart"/>
            <w:r>
              <w:t>Gestión</w:t>
            </w:r>
            <w:proofErr w:type="spellEnd"/>
            <w:r>
              <w:t xml:space="preserve"> de Casos y la </w:t>
            </w:r>
            <w:proofErr w:type="spellStart"/>
            <w:r>
              <w:t>Protección</w:t>
            </w:r>
            <w:proofErr w:type="spellEnd"/>
            <w:r>
              <w:t xml:space="preserve"> de la </w:t>
            </w:r>
            <w:proofErr w:type="spellStart"/>
            <w:r>
              <w:t>Niñez</w:t>
            </w:r>
            <w:proofErr w:type="spellEnd"/>
            <w:r>
              <w:t xml:space="preserve"> y </w:t>
            </w:r>
            <w:proofErr w:type="spellStart"/>
            <w:proofErr w:type="gramStart"/>
            <w:r>
              <w:t>Adolescencia</w:t>
            </w:r>
            <w:proofErr w:type="spellEnd"/>
            <w:r>
              <w:t xml:space="preserve"> ,</w:t>
            </w:r>
            <w:proofErr w:type="gramEnd"/>
            <w:r>
              <w:t xml:space="preserve"> (</w:t>
            </w:r>
            <w:proofErr w:type="spellStart"/>
            <w:r>
              <w:t>estudio</w:t>
            </w:r>
            <w:proofErr w:type="spellEnd"/>
            <w:r>
              <w:t xml:space="preserve"> de </w:t>
            </w:r>
            <w:proofErr w:type="spellStart"/>
            <w:r>
              <w:t>caso</w:t>
            </w:r>
            <w:proofErr w:type="spellEnd"/>
            <w:r>
              <w:t xml:space="preserve"> 1, </w:t>
            </w:r>
            <w:proofErr w:type="spellStart"/>
            <w:r>
              <w:t>pág</w:t>
            </w:r>
            <w:proofErr w:type="spellEnd"/>
            <w:r>
              <w:t>. 69)</w:t>
            </w:r>
          </w:p>
          <w:p w14:paraId="500C35E3" w14:textId="2DCB33CB" w:rsidR="00887796" w:rsidRDefault="00887796" w:rsidP="00887796">
            <w:pPr>
              <w:pStyle w:val="NormalTextBulletsLevel1"/>
            </w:pPr>
            <w:r>
              <w:lastRenderedPageBreak/>
              <w:t xml:space="preserve">Norma 19, </w:t>
            </w:r>
            <w:proofErr w:type="spellStart"/>
            <w:r>
              <w:t>Cuidado</w:t>
            </w:r>
            <w:proofErr w:type="spellEnd"/>
            <w:r>
              <w:t xml:space="preserve"> alternativo:</w:t>
            </w:r>
            <w:r w:rsidRPr="00054CCF">
              <w:rPr>
                <w:color w:val="0070C0"/>
              </w:rPr>
              <w:t xml:space="preserve"> </w:t>
            </w:r>
            <w:hyperlink r:id="rId12" w:history="1">
              <w:r w:rsidRPr="00054CCF">
                <w:rPr>
                  <w:rStyle w:val="Hyperlink"/>
                  <w:color w:val="0070C0"/>
                </w:rPr>
                <w:t xml:space="preserve">Informe </w:t>
              </w:r>
              <w:proofErr w:type="spellStart"/>
              <w:r w:rsidRPr="00054CCF">
                <w:rPr>
                  <w:rStyle w:val="Hyperlink"/>
                  <w:color w:val="0070C0"/>
                </w:rPr>
                <w:t>sobre</w:t>
              </w:r>
              <w:proofErr w:type="spellEnd"/>
              <w:r w:rsidRPr="00054CCF">
                <w:rPr>
                  <w:rStyle w:val="Hyperlink"/>
                  <w:color w:val="0070C0"/>
                </w:rPr>
                <w:t xml:space="preserve"> las </w:t>
              </w:r>
              <w:proofErr w:type="spellStart"/>
              <w:r w:rsidRPr="00054CCF">
                <w:rPr>
                  <w:rStyle w:val="Hyperlink"/>
                  <w:color w:val="0070C0"/>
                </w:rPr>
                <w:t>Modalidades</w:t>
              </w:r>
              <w:proofErr w:type="spellEnd"/>
              <w:r w:rsidRPr="00054CCF">
                <w:rPr>
                  <w:rStyle w:val="Hyperlink"/>
                  <w:color w:val="0070C0"/>
                </w:rPr>
                <w:t xml:space="preserve"> </w:t>
              </w:r>
              <w:proofErr w:type="spellStart"/>
              <w:r w:rsidRPr="00054CCF">
                <w:rPr>
                  <w:rStyle w:val="Hyperlink"/>
                  <w:color w:val="0070C0"/>
                </w:rPr>
                <w:t>Alternativas</w:t>
              </w:r>
              <w:proofErr w:type="spellEnd"/>
              <w:r w:rsidRPr="00054CCF">
                <w:rPr>
                  <w:rStyle w:val="Hyperlink"/>
                  <w:color w:val="0070C0"/>
                </w:rPr>
                <w:t xml:space="preserve"> de </w:t>
              </w:r>
              <w:proofErr w:type="spellStart"/>
              <w:r w:rsidRPr="00054CCF">
                <w:rPr>
                  <w:rStyle w:val="Hyperlink"/>
                  <w:color w:val="0070C0"/>
                </w:rPr>
                <w:t>Cuidado</w:t>
              </w:r>
              <w:proofErr w:type="spellEnd"/>
              <w:r w:rsidRPr="00054CCF">
                <w:rPr>
                  <w:rStyle w:val="Hyperlink"/>
                  <w:color w:val="0070C0"/>
                </w:rPr>
                <w:t xml:space="preserve"> de </w:t>
              </w:r>
              <w:proofErr w:type="spellStart"/>
              <w:r w:rsidRPr="00054CCF">
                <w:rPr>
                  <w:rStyle w:val="Hyperlink"/>
                  <w:color w:val="0070C0"/>
                </w:rPr>
                <w:t>los</w:t>
              </w:r>
              <w:proofErr w:type="spellEnd"/>
              <w:r w:rsidRPr="00054CCF">
                <w:rPr>
                  <w:rStyle w:val="Hyperlink"/>
                  <w:color w:val="0070C0"/>
                </w:rPr>
                <w:t xml:space="preserve"> </w:t>
              </w:r>
              <w:proofErr w:type="spellStart"/>
              <w:r w:rsidRPr="00054CCF">
                <w:rPr>
                  <w:rStyle w:val="Hyperlink"/>
                  <w:color w:val="0070C0"/>
                </w:rPr>
                <w:t>Niños</w:t>
              </w:r>
              <w:proofErr w:type="spellEnd"/>
              <w:r w:rsidRPr="00054CCF">
                <w:rPr>
                  <w:rStyle w:val="Hyperlink"/>
                  <w:color w:val="0070C0"/>
                </w:rPr>
                <w:t xml:space="preserve"> No </w:t>
              </w:r>
              <w:proofErr w:type="spellStart"/>
              <w:r w:rsidRPr="00054CCF">
                <w:rPr>
                  <w:rStyle w:val="Hyperlink"/>
                  <w:color w:val="0070C0"/>
                </w:rPr>
                <w:t>Acompañados</w:t>
              </w:r>
              <w:proofErr w:type="spellEnd"/>
              <w:r w:rsidRPr="00054CCF">
                <w:rPr>
                  <w:rStyle w:val="Hyperlink"/>
                  <w:color w:val="0070C0"/>
                </w:rPr>
                <w:t xml:space="preserve"> y </w:t>
              </w:r>
              <w:proofErr w:type="spellStart"/>
              <w:r w:rsidRPr="00054CCF">
                <w:rPr>
                  <w:rStyle w:val="Hyperlink"/>
                  <w:color w:val="0070C0"/>
                </w:rPr>
                <w:t>Separados</w:t>
              </w:r>
              <w:proofErr w:type="spellEnd"/>
              <w:r w:rsidRPr="00054CCF">
                <w:rPr>
                  <w:rStyle w:val="Hyperlink"/>
                  <w:color w:val="0070C0"/>
                </w:rPr>
                <w:t xml:space="preserve"> </w:t>
              </w:r>
              <w:proofErr w:type="spellStart"/>
              <w:r w:rsidRPr="00054CCF">
                <w:rPr>
                  <w:rStyle w:val="Hyperlink"/>
                  <w:color w:val="0070C0"/>
                </w:rPr>
                <w:t>en</w:t>
              </w:r>
              <w:proofErr w:type="spellEnd"/>
              <w:r w:rsidRPr="00054CCF">
                <w:rPr>
                  <w:rStyle w:val="Hyperlink"/>
                  <w:color w:val="0070C0"/>
                </w:rPr>
                <w:t xml:space="preserve"> </w:t>
              </w:r>
              <w:proofErr w:type="spellStart"/>
              <w:r w:rsidRPr="00054CCF">
                <w:rPr>
                  <w:rStyle w:val="Hyperlink"/>
                  <w:color w:val="0070C0"/>
                </w:rPr>
                <w:t>Contexto</w:t>
              </w:r>
              <w:proofErr w:type="spellEnd"/>
              <w:r w:rsidRPr="00054CCF">
                <w:rPr>
                  <w:rStyle w:val="Hyperlink"/>
                  <w:color w:val="0070C0"/>
                </w:rPr>
                <w:t xml:space="preserve"> </w:t>
              </w:r>
              <w:proofErr w:type="spellStart"/>
              <w:r w:rsidRPr="00054CCF">
                <w:rPr>
                  <w:rStyle w:val="Hyperlink"/>
                  <w:color w:val="0070C0"/>
                </w:rPr>
                <w:t>Humanitario</w:t>
              </w:r>
              <w:proofErr w:type="spellEnd"/>
              <w:r w:rsidRPr="00054CCF">
                <w:rPr>
                  <w:rStyle w:val="Hyperlink"/>
                  <w:color w:val="0070C0"/>
                </w:rPr>
                <w:t xml:space="preserve"> </w:t>
              </w:r>
              <w:proofErr w:type="spellStart"/>
              <w:r w:rsidRPr="00054CCF">
                <w:rPr>
                  <w:rStyle w:val="Hyperlink"/>
                  <w:color w:val="0070C0"/>
                </w:rPr>
                <w:t>en</w:t>
              </w:r>
              <w:proofErr w:type="spellEnd"/>
              <w:r w:rsidRPr="00054CCF">
                <w:rPr>
                  <w:rStyle w:val="Hyperlink"/>
                  <w:color w:val="0070C0"/>
                </w:rPr>
                <w:t xml:space="preserve"> Uganda</w:t>
              </w:r>
            </w:hyperlink>
            <w:r w:rsidRPr="00054CCF">
              <w:rPr>
                <w:color w:val="0070C0"/>
              </w:rPr>
              <w:t xml:space="preserve"> </w:t>
            </w:r>
          </w:p>
          <w:p w14:paraId="393B66EC" w14:textId="7F7C22AC" w:rsidR="002F31F0" w:rsidRPr="003E0E4D" w:rsidRDefault="00887796" w:rsidP="00887796">
            <w:pPr>
              <w:pStyle w:val="NormalTextBulletsLevel1"/>
            </w:pPr>
            <w:r>
              <w:t xml:space="preserve">Norma 20 - Justicia para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adolescentes</w:t>
            </w:r>
            <w:proofErr w:type="spellEnd"/>
            <w:r>
              <w:t xml:space="preserve">: </w:t>
            </w:r>
            <w:proofErr w:type="spellStart"/>
            <w:r>
              <w:t>Acceso</w:t>
            </w:r>
            <w:proofErr w:type="spellEnd"/>
            <w:r>
              <w:t xml:space="preserve"> de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adolescentes</w:t>
            </w:r>
            <w:proofErr w:type="spellEnd"/>
            <w:r>
              <w:t xml:space="preserve"> a la </w:t>
            </w:r>
            <w:proofErr w:type="spellStart"/>
            <w:r>
              <w:t>justicia</w:t>
            </w:r>
            <w:proofErr w:type="spellEnd"/>
            <w:r>
              <w:t xml:space="preserve"> </w:t>
            </w:r>
            <w:proofErr w:type="spellStart"/>
            <w:r>
              <w:t>en</w:t>
            </w:r>
            <w:proofErr w:type="spellEnd"/>
            <w:r>
              <w:t xml:space="preserve"> la era de COVID-19: </w:t>
            </w:r>
            <w:proofErr w:type="spellStart"/>
            <w:r>
              <w:t>Notas</w:t>
            </w:r>
            <w:proofErr w:type="spellEnd"/>
            <w:r>
              <w:t xml:space="preserve"> </w:t>
            </w:r>
            <w:proofErr w:type="spellStart"/>
            <w:r>
              <w:t>desde</w:t>
            </w:r>
            <w:proofErr w:type="spellEnd"/>
            <w:r>
              <w:t xml:space="preserve"> </w:t>
            </w:r>
            <w:proofErr w:type="spellStart"/>
            <w:r>
              <w:t>el</w:t>
            </w:r>
            <w:proofErr w:type="spellEnd"/>
            <w:r>
              <w:t xml:space="preserve"> </w:t>
            </w:r>
            <w:proofErr w:type="gramStart"/>
            <w:r>
              <w:t>campo ,</w:t>
            </w:r>
            <w:proofErr w:type="gramEnd"/>
            <w:r>
              <w:t xml:space="preserve"> (</w:t>
            </w:r>
            <w:proofErr w:type="spellStart"/>
            <w:r>
              <w:t>estudio</w:t>
            </w:r>
            <w:proofErr w:type="spellEnd"/>
            <w:r>
              <w:t xml:space="preserve"> de </w:t>
            </w:r>
            <w:proofErr w:type="spellStart"/>
            <w:r>
              <w:t>caso</w:t>
            </w:r>
            <w:proofErr w:type="spellEnd"/>
            <w:r>
              <w:t xml:space="preserve"> </w:t>
            </w:r>
            <w:proofErr w:type="spellStart"/>
            <w:r>
              <w:t>Sudán</w:t>
            </w:r>
            <w:proofErr w:type="spellEnd"/>
            <w:r>
              <w:t xml:space="preserve"> del Sur, </w:t>
            </w:r>
            <w:proofErr w:type="spellStart"/>
            <w:r>
              <w:t>pág</w:t>
            </w:r>
            <w:proofErr w:type="spellEnd"/>
            <w:r>
              <w:t>. 25)</w:t>
            </w:r>
          </w:p>
        </w:tc>
        <w:tc>
          <w:tcPr>
            <w:tcW w:w="6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1326D72" w14:textId="77777777" w:rsidR="00AB5714" w:rsidRDefault="00AB5714" w:rsidP="000829BE"/>
          <w:p w14:paraId="5949655D" w14:textId="77777777" w:rsidR="00B83E16" w:rsidRDefault="00B83E16" w:rsidP="00B83E16">
            <w:r>
              <w:t xml:space="preserve">Prepare 6 salas de </w:t>
            </w:r>
            <w:proofErr w:type="spellStart"/>
            <w:proofErr w:type="gramStart"/>
            <w:r>
              <w:t>reunión</w:t>
            </w:r>
            <w:proofErr w:type="spellEnd"/>
            <w:proofErr w:type="gramEnd"/>
          </w:p>
          <w:p w14:paraId="1588DA4F" w14:textId="076EA110" w:rsidR="008F19DE" w:rsidRDefault="00B83E16" w:rsidP="000829BE">
            <w:proofErr w:type="spellStart"/>
            <w:r>
              <w:t>Coloca</w:t>
            </w:r>
            <w:proofErr w:type="spellEnd"/>
            <w:r>
              <w:t xml:space="preserve"> 6 </w:t>
            </w:r>
            <w:proofErr w:type="spellStart"/>
            <w:r>
              <w:t>pizarras</w:t>
            </w:r>
            <w:proofErr w:type="spellEnd"/>
            <w:r>
              <w:t xml:space="preserve"> </w:t>
            </w:r>
            <w:proofErr w:type="spellStart"/>
            <w:r>
              <w:t>virtuales</w:t>
            </w:r>
            <w:proofErr w:type="spellEnd"/>
            <w:r>
              <w:t xml:space="preserve"> con </w:t>
            </w:r>
            <w:proofErr w:type="spellStart"/>
            <w:r>
              <w:t>el</w:t>
            </w:r>
            <w:proofErr w:type="spellEnd"/>
            <w:r>
              <w:t xml:space="preserve"> </w:t>
            </w:r>
            <w:proofErr w:type="spellStart"/>
            <w:r>
              <w:t>título</w:t>
            </w:r>
            <w:proofErr w:type="spellEnd"/>
            <w:r>
              <w:t xml:space="preserve"> de </w:t>
            </w:r>
            <w:proofErr w:type="spellStart"/>
            <w:r>
              <w:t>cada</w:t>
            </w:r>
            <w:proofErr w:type="spellEnd"/>
            <w:r>
              <w:t xml:space="preserve"> </w:t>
            </w:r>
            <w:proofErr w:type="spellStart"/>
            <w:r>
              <w:t>estudio</w:t>
            </w:r>
            <w:proofErr w:type="spellEnd"/>
            <w:r>
              <w:t xml:space="preserve"> de </w:t>
            </w:r>
            <w:proofErr w:type="spellStart"/>
            <w:r>
              <w:t>caso</w:t>
            </w:r>
            <w:proofErr w:type="spellEnd"/>
            <w:r>
              <w:t xml:space="preserve"> y </w:t>
            </w:r>
            <w:proofErr w:type="spellStart"/>
            <w:r>
              <w:t>asigna</w:t>
            </w:r>
            <w:proofErr w:type="spellEnd"/>
            <w:r>
              <w:t xml:space="preserve"> a un </w:t>
            </w:r>
            <w:proofErr w:type="spellStart"/>
            <w:r>
              <w:t>participante</w:t>
            </w:r>
            <w:proofErr w:type="spellEnd"/>
            <w:r>
              <w:t xml:space="preserve"> </w:t>
            </w:r>
            <w:proofErr w:type="spellStart"/>
            <w:r>
              <w:t>como</w:t>
            </w:r>
            <w:proofErr w:type="spellEnd"/>
            <w:r>
              <w:t xml:space="preserve"> </w:t>
            </w:r>
            <w:proofErr w:type="spellStart"/>
            <w:r>
              <w:t>anfitrión</w:t>
            </w:r>
            <w:proofErr w:type="spellEnd"/>
            <w:r>
              <w:t xml:space="preserve"> de la mesa para </w:t>
            </w:r>
            <w:proofErr w:type="spellStart"/>
            <w:r>
              <w:t>cada</w:t>
            </w:r>
            <w:proofErr w:type="spellEnd"/>
            <w:r>
              <w:t xml:space="preserve"> </w:t>
            </w:r>
            <w:proofErr w:type="spellStart"/>
            <w:r>
              <w:t>estudio</w:t>
            </w:r>
            <w:proofErr w:type="spellEnd"/>
            <w:r>
              <w:t xml:space="preserve"> de </w:t>
            </w:r>
            <w:proofErr w:type="spellStart"/>
            <w:r>
              <w:t>caso</w:t>
            </w:r>
            <w:proofErr w:type="spellEnd"/>
            <w:r>
              <w:t xml:space="preserve">. </w:t>
            </w:r>
            <w:proofErr w:type="spellStart"/>
            <w:r>
              <w:t>Asigna</w:t>
            </w:r>
            <w:proofErr w:type="spellEnd"/>
            <w:r>
              <w:t xml:space="preserve"> a </w:t>
            </w:r>
            <w:proofErr w:type="spellStart"/>
            <w:r>
              <w:t>los</w:t>
            </w:r>
            <w:proofErr w:type="spellEnd"/>
            <w:r>
              <w:t xml:space="preserve"> </w:t>
            </w:r>
            <w:proofErr w:type="spellStart"/>
            <w:r>
              <w:t>demás</w:t>
            </w:r>
            <w:proofErr w:type="spellEnd"/>
            <w:r>
              <w:t xml:space="preserve"> </w:t>
            </w:r>
            <w:proofErr w:type="spellStart"/>
            <w:r>
              <w:t>participantes</w:t>
            </w:r>
            <w:proofErr w:type="spellEnd"/>
            <w:r>
              <w:t xml:space="preserve"> a </w:t>
            </w:r>
            <w:proofErr w:type="spellStart"/>
            <w:r>
              <w:t>grupos</w:t>
            </w:r>
            <w:proofErr w:type="spellEnd"/>
            <w:r>
              <w:t xml:space="preserve"> y </w:t>
            </w:r>
            <w:proofErr w:type="spellStart"/>
            <w:r>
              <w:t>explícales</w:t>
            </w:r>
            <w:proofErr w:type="spellEnd"/>
            <w:r>
              <w:t xml:space="preserve"> que </w:t>
            </w:r>
            <w:proofErr w:type="spellStart"/>
            <w:r>
              <w:t>deben</w:t>
            </w:r>
            <w:proofErr w:type="spellEnd"/>
            <w:r>
              <w:t xml:space="preserve"> leer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y responder a dos </w:t>
            </w:r>
            <w:proofErr w:type="spellStart"/>
            <w:r>
              <w:t>preguntas</w:t>
            </w:r>
            <w:proofErr w:type="spellEnd"/>
            <w:r>
              <w:t xml:space="preserve">: </w:t>
            </w:r>
          </w:p>
          <w:p w14:paraId="39F345B1" w14:textId="77777777" w:rsidR="00B95D98" w:rsidRDefault="00B95D98" w:rsidP="004B5149">
            <w:pPr>
              <w:pStyle w:val="NormalTextBulletsLevel1"/>
            </w:pPr>
            <w:r>
              <w:t>¿</w:t>
            </w:r>
            <w:proofErr w:type="spellStart"/>
            <w:r>
              <w:t>Qué</w:t>
            </w:r>
            <w:proofErr w:type="spellEnd"/>
            <w:r>
              <w:t xml:space="preserve"> norma (15-20) es </w:t>
            </w:r>
            <w:proofErr w:type="spellStart"/>
            <w:r>
              <w:t>más</w:t>
            </w:r>
            <w:proofErr w:type="spellEnd"/>
            <w:r>
              <w:t xml:space="preserve"> </w:t>
            </w:r>
            <w:proofErr w:type="spellStart"/>
            <w:r>
              <w:t>relevante</w:t>
            </w:r>
            <w:proofErr w:type="spellEnd"/>
            <w:r>
              <w:t xml:space="preserve"> para </w:t>
            </w:r>
            <w:proofErr w:type="spellStart"/>
            <w:r>
              <w:t>el</w:t>
            </w:r>
            <w:proofErr w:type="spellEnd"/>
            <w:r>
              <w:t xml:space="preserve"> </w:t>
            </w:r>
            <w:proofErr w:type="spellStart"/>
            <w:r>
              <w:t>estudio</w:t>
            </w:r>
            <w:proofErr w:type="spellEnd"/>
            <w:r>
              <w:t xml:space="preserve"> de </w:t>
            </w:r>
            <w:proofErr w:type="spellStart"/>
            <w:r>
              <w:t>caso</w:t>
            </w:r>
            <w:proofErr w:type="spellEnd"/>
            <w:r>
              <w:t>?</w:t>
            </w:r>
          </w:p>
          <w:p w14:paraId="3079E987" w14:textId="2A16629E" w:rsidR="008F19DE" w:rsidRPr="008F19DE" w:rsidRDefault="00B95D98" w:rsidP="004B5149">
            <w:pPr>
              <w:pStyle w:val="NormalTextBulletsLevel1"/>
            </w:pPr>
            <w:r>
              <w:t>¿</w:t>
            </w:r>
            <w:proofErr w:type="spellStart"/>
            <w:r>
              <w:t>Qué</w:t>
            </w:r>
            <w:proofErr w:type="spellEnd"/>
            <w:r>
              <w:t xml:space="preserve"> </w:t>
            </w:r>
            <w:proofErr w:type="spellStart"/>
            <w:r>
              <w:t>acciones</w:t>
            </w:r>
            <w:proofErr w:type="spellEnd"/>
            <w:r>
              <w:t xml:space="preserve"> clave de la norma se </w:t>
            </w:r>
            <w:proofErr w:type="spellStart"/>
            <w:r>
              <w:t>incluyen</w:t>
            </w:r>
            <w:proofErr w:type="spellEnd"/>
            <w:r>
              <w:t>/</w:t>
            </w:r>
            <w:proofErr w:type="spellStart"/>
            <w:r>
              <w:t>describen</w:t>
            </w:r>
            <w:proofErr w:type="spellEnd"/>
            <w:r>
              <w:t xml:space="preserve"> </w:t>
            </w:r>
            <w:proofErr w:type="spellStart"/>
            <w:r>
              <w:t>en</w:t>
            </w:r>
            <w:proofErr w:type="spellEnd"/>
            <w:r>
              <w:t xml:space="preserve"> </w:t>
            </w:r>
            <w:proofErr w:type="spellStart"/>
            <w:r>
              <w:t>el</w:t>
            </w:r>
            <w:proofErr w:type="spellEnd"/>
            <w:r>
              <w:t xml:space="preserve"> </w:t>
            </w:r>
            <w:proofErr w:type="spellStart"/>
            <w:r>
              <w:t>estudio</w:t>
            </w:r>
            <w:proofErr w:type="spellEnd"/>
            <w:r>
              <w:t xml:space="preserve"> de </w:t>
            </w:r>
            <w:proofErr w:type="spellStart"/>
            <w:r>
              <w:t>caso</w:t>
            </w:r>
            <w:proofErr w:type="spellEnd"/>
            <w:r>
              <w:t>?</w:t>
            </w:r>
            <w:r w:rsidR="00CD4451">
              <w:t xml:space="preserve"> </w:t>
            </w:r>
          </w:p>
          <w:p w14:paraId="0C9CFE7A" w14:textId="77777777" w:rsidR="00CD4451" w:rsidRDefault="00CD4451" w:rsidP="00CD4451">
            <w:proofErr w:type="spellStart"/>
            <w:r>
              <w:t>Compruebe</w:t>
            </w:r>
            <w:proofErr w:type="spellEnd"/>
            <w:r>
              <w:t xml:space="preserve"> </w:t>
            </w:r>
            <w:proofErr w:type="spellStart"/>
            <w:r>
              <w:t>si</w:t>
            </w:r>
            <w:proofErr w:type="spellEnd"/>
            <w:r>
              <w:t xml:space="preserve"> hay </w:t>
            </w:r>
            <w:proofErr w:type="spellStart"/>
            <w:r>
              <w:t>preguntas</w:t>
            </w:r>
            <w:proofErr w:type="spellEnd"/>
            <w:r>
              <w:t xml:space="preserve"> </w:t>
            </w:r>
            <w:proofErr w:type="spellStart"/>
            <w:r>
              <w:t>sobre</w:t>
            </w:r>
            <w:proofErr w:type="spellEnd"/>
            <w:r>
              <w:t xml:space="preserve"> la </w:t>
            </w:r>
            <w:proofErr w:type="spellStart"/>
            <w:r>
              <w:t>tarea</w:t>
            </w:r>
            <w:proofErr w:type="spellEnd"/>
            <w:r>
              <w:t xml:space="preserve"> y, a </w:t>
            </w:r>
            <w:proofErr w:type="spellStart"/>
            <w:r>
              <w:t>continuación</w:t>
            </w:r>
            <w:proofErr w:type="spellEnd"/>
            <w:r>
              <w:t xml:space="preserve">, </w:t>
            </w:r>
            <w:proofErr w:type="spellStart"/>
            <w:r>
              <w:t>comparta</w:t>
            </w:r>
            <w:proofErr w:type="spellEnd"/>
            <w:r>
              <w:t xml:space="preserve">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a </w:t>
            </w:r>
            <w:proofErr w:type="spellStart"/>
            <w:r>
              <w:t>través</w:t>
            </w:r>
            <w:proofErr w:type="spellEnd"/>
            <w:r>
              <w:t xml:space="preserve"> de la </w:t>
            </w:r>
            <w:proofErr w:type="spellStart"/>
            <w:r>
              <w:t>función</w:t>
            </w:r>
            <w:proofErr w:type="spellEnd"/>
            <w:r>
              <w:t xml:space="preserve"> de chat. Abra las salas de debate.</w:t>
            </w:r>
          </w:p>
          <w:p w14:paraId="44C2DD7A" w14:textId="3E1215F7" w:rsidR="008F19DE" w:rsidRDefault="00CD4451" w:rsidP="00CD4451">
            <w:proofErr w:type="spellStart"/>
            <w:r>
              <w:t>Transcurridos</w:t>
            </w:r>
            <w:proofErr w:type="spellEnd"/>
            <w:r>
              <w:t xml:space="preserve"> 15 </w:t>
            </w:r>
            <w:proofErr w:type="spellStart"/>
            <w:r>
              <w:t>minutos</w:t>
            </w:r>
            <w:proofErr w:type="spellEnd"/>
            <w:r>
              <w:t xml:space="preserve">, </w:t>
            </w:r>
            <w:proofErr w:type="spellStart"/>
            <w:r>
              <w:t>vuelva</w:t>
            </w:r>
            <w:proofErr w:type="spellEnd"/>
            <w:r>
              <w:t xml:space="preserve"> a </w:t>
            </w:r>
            <w:proofErr w:type="spellStart"/>
            <w:r>
              <w:t>reunir</w:t>
            </w:r>
            <w:proofErr w:type="spellEnd"/>
            <w:r>
              <w:t xml:space="preserve"> al </w:t>
            </w:r>
            <w:proofErr w:type="spellStart"/>
            <w:r>
              <w:t>grupo</w:t>
            </w:r>
            <w:proofErr w:type="spellEnd"/>
            <w:r>
              <w:t xml:space="preserve"> </w:t>
            </w:r>
            <w:proofErr w:type="spellStart"/>
            <w:r>
              <w:t>en</w:t>
            </w:r>
            <w:proofErr w:type="spellEnd"/>
            <w:r>
              <w:t xml:space="preserve"> </w:t>
            </w:r>
            <w:proofErr w:type="spellStart"/>
            <w:r>
              <w:t>sesión</w:t>
            </w:r>
            <w:proofErr w:type="spellEnd"/>
            <w:r>
              <w:t xml:space="preserve"> </w:t>
            </w:r>
            <w:proofErr w:type="spellStart"/>
            <w:r>
              <w:t>plenaria</w:t>
            </w:r>
            <w:proofErr w:type="spellEnd"/>
            <w:r>
              <w:t xml:space="preserve"> y </w:t>
            </w:r>
            <w:proofErr w:type="spellStart"/>
            <w:r>
              <w:t>explíquelo</w:t>
            </w:r>
            <w:proofErr w:type="spellEnd"/>
            <w:r>
              <w:t xml:space="preserve">: Los </w:t>
            </w:r>
            <w:proofErr w:type="spellStart"/>
            <w:r>
              <w:t>Anfitriones</w:t>
            </w:r>
            <w:proofErr w:type="spellEnd"/>
            <w:r>
              <w:t xml:space="preserve"> de Mesa </w:t>
            </w:r>
            <w:proofErr w:type="spellStart"/>
            <w:r>
              <w:t>permanecerán</w:t>
            </w:r>
            <w:proofErr w:type="spellEnd"/>
            <w:r>
              <w:t xml:space="preserve"> con </w:t>
            </w:r>
            <w:proofErr w:type="spellStart"/>
            <w:r>
              <w:t>el</w:t>
            </w:r>
            <w:proofErr w:type="spellEnd"/>
            <w:r>
              <w:t xml:space="preserve"> </w:t>
            </w:r>
            <w:proofErr w:type="spellStart"/>
            <w:r>
              <w:t>mismo</w:t>
            </w:r>
            <w:proofErr w:type="spellEnd"/>
            <w:r>
              <w:t xml:space="preserve"> </w:t>
            </w:r>
            <w:proofErr w:type="spellStart"/>
            <w:r>
              <w:t>estudio</w:t>
            </w:r>
            <w:proofErr w:type="spellEnd"/>
            <w:r>
              <w:t xml:space="preserve"> de </w:t>
            </w:r>
            <w:proofErr w:type="spellStart"/>
            <w:r>
              <w:t>caso</w:t>
            </w:r>
            <w:proofErr w:type="spellEnd"/>
            <w:r>
              <w:t xml:space="preserve">. Los </w:t>
            </w:r>
            <w:proofErr w:type="spellStart"/>
            <w:r>
              <w:t>demás</w:t>
            </w:r>
            <w:proofErr w:type="spellEnd"/>
            <w:r>
              <w:t xml:space="preserve"> </w:t>
            </w:r>
            <w:proofErr w:type="spellStart"/>
            <w:r>
              <w:t>participantes</w:t>
            </w:r>
            <w:proofErr w:type="spellEnd"/>
            <w:r>
              <w:t xml:space="preserve"> </w:t>
            </w:r>
            <w:proofErr w:type="spellStart"/>
            <w:r>
              <w:t>pasarán</w:t>
            </w:r>
            <w:proofErr w:type="spellEnd"/>
            <w:r>
              <w:t xml:space="preserve"> a un </w:t>
            </w:r>
            <w:proofErr w:type="spellStart"/>
            <w:r>
              <w:t>estudio</w:t>
            </w:r>
            <w:proofErr w:type="spellEnd"/>
            <w:r>
              <w:t xml:space="preserve"> de </w:t>
            </w:r>
            <w:proofErr w:type="spellStart"/>
            <w:r>
              <w:t>caso</w:t>
            </w:r>
            <w:proofErr w:type="spellEnd"/>
            <w:r>
              <w:t xml:space="preserve"> </w:t>
            </w:r>
            <w:proofErr w:type="spellStart"/>
            <w:r>
              <w:t>diferente</w:t>
            </w:r>
            <w:proofErr w:type="spellEnd"/>
            <w:r>
              <w:t xml:space="preserve">. </w:t>
            </w:r>
            <w:proofErr w:type="spellStart"/>
            <w:r>
              <w:lastRenderedPageBreak/>
              <w:t>Deberán</w:t>
            </w:r>
            <w:proofErr w:type="spellEnd"/>
            <w:r>
              <w:t xml:space="preserve"> leer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w:t>
            </w:r>
            <w:proofErr w:type="spellStart"/>
            <w:r>
              <w:t>revisar</w:t>
            </w:r>
            <w:proofErr w:type="spellEnd"/>
            <w:r>
              <w:t xml:space="preserve"> las </w:t>
            </w:r>
            <w:proofErr w:type="spellStart"/>
            <w:r>
              <w:t>respuestas</w:t>
            </w:r>
            <w:proofErr w:type="spellEnd"/>
            <w:r>
              <w:t xml:space="preserve"> del </w:t>
            </w:r>
            <w:proofErr w:type="spellStart"/>
            <w:r>
              <w:t>grupo</w:t>
            </w:r>
            <w:proofErr w:type="spellEnd"/>
            <w:r>
              <w:t xml:space="preserve"> anterior y, a </w:t>
            </w:r>
            <w:proofErr w:type="spellStart"/>
            <w:r>
              <w:t>continuación</w:t>
            </w:r>
            <w:proofErr w:type="spellEnd"/>
            <w:r>
              <w:t xml:space="preserve">, responder a dos </w:t>
            </w:r>
            <w:proofErr w:type="spellStart"/>
            <w:r>
              <w:t>preguntas</w:t>
            </w:r>
            <w:proofErr w:type="spellEnd"/>
            <w:r>
              <w:t xml:space="preserve"> </w:t>
            </w:r>
            <w:proofErr w:type="spellStart"/>
            <w:r>
              <w:t>adicionales</w:t>
            </w:r>
            <w:proofErr w:type="spellEnd"/>
            <w:r w:rsidR="008F19DE">
              <w:t xml:space="preserve">: </w:t>
            </w:r>
          </w:p>
          <w:p w14:paraId="681339EB" w14:textId="77777777" w:rsidR="004B5149" w:rsidRPr="004B5149" w:rsidRDefault="004B5149" w:rsidP="004B5149">
            <w:pPr>
              <w:pStyle w:val="NormalTextBulletsLevel1"/>
            </w:pPr>
            <w:r w:rsidRPr="004B5149">
              <w:t>¿</w:t>
            </w:r>
            <w:proofErr w:type="spellStart"/>
            <w:r w:rsidRPr="004B5149">
              <w:t>Qué</w:t>
            </w:r>
            <w:proofErr w:type="spellEnd"/>
            <w:r w:rsidRPr="004B5149">
              <w:t xml:space="preserve"> </w:t>
            </w:r>
            <w:proofErr w:type="spellStart"/>
            <w:r w:rsidRPr="004B5149">
              <w:t>otros</w:t>
            </w:r>
            <w:proofErr w:type="spellEnd"/>
            <w:r w:rsidRPr="004B5149">
              <w:t xml:space="preserve"> </w:t>
            </w:r>
            <w:proofErr w:type="spellStart"/>
            <w:r w:rsidRPr="004B5149">
              <w:t>tipos</w:t>
            </w:r>
            <w:proofErr w:type="spellEnd"/>
            <w:r w:rsidRPr="004B5149">
              <w:t xml:space="preserve"> de </w:t>
            </w:r>
            <w:proofErr w:type="spellStart"/>
            <w:r w:rsidRPr="004B5149">
              <w:t>programación</w:t>
            </w:r>
            <w:proofErr w:type="spellEnd"/>
            <w:r w:rsidRPr="004B5149">
              <w:t xml:space="preserve"> </w:t>
            </w:r>
            <w:proofErr w:type="spellStart"/>
            <w:r w:rsidRPr="004B5149">
              <w:t>pueden</w:t>
            </w:r>
            <w:proofErr w:type="spellEnd"/>
            <w:r w:rsidRPr="004B5149">
              <w:t xml:space="preserve"> ser </w:t>
            </w:r>
            <w:proofErr w:type="spellStart"/>
            <w:r w:rsidRPr="004B5149">
              <w:t>pertinentes</w:t>
            </w:r>
            <w:proofErr w:type="spellEnd"/>
            <w:r w:rsidRPr="004B5149">
              <w:t xml:space="preserve"> para </w:t>
            </w:r>
            <w:proofErr w:type="spellStart"/>
            <w:r w:rsidRPr="004B5149">
              <w:t>esta</w:t>
            </w:r>
            <w:proofErr w:type="spellEnd"/>
            <w:r w:rsidRPr="004B5149">
              <w:t xml:space="preserve"> norma?</w:t>
            </w:r>
          </w:p>
          <w:p w14:paraId="4EBF9649" w14:textId="66D72776" w:rsidR="008F19DE" w:rsidRPr="004B5149" w:rsidRDefault="004B5149" w:rsidP="004B5149">
            <w:pPr>
              <w:pStyle w:val="NormalTextBulletsLevel1"/>
            </w:pPr>
            <w:r w:rsidRPr="004B5149">
              <w:t>¿</w:t>
            </w:r>
            <w:proofErr w:type="spellStart"/>
            <w:r w:rsidRPr="004B5149">
              <w:t>Sería</w:t>
            </w:r>
            <w:proofErr w:type="spellEnd"/>
            <w:r w:rsidRPr="004B5149">
              <w:t xml:space="preserve"> </w:t>
            </w:r>
            <w:proofErr w:type="spellStart"/>
            <w:r w:rsidRPr="004B5149">
              <w:t>pertinente</w:t>
            </w:r>
            <w:proofErr w:type="spellEnd"/>
            <w:r w:rsidRPr="004B5149">
              <w:t xml:space="preserve"> </w:t>
            </w:r>
            <w:proofErr w:type="spellStart"/>
            <w:r w:rsidRPr="004B5149">
              <w:t>en</w:t>
            </w:r>
            <w:proofErr w:type="spellEnd"/>
            <w:r w:rsidRPr="004B5149">
              <w:t xml:space="preserve"> </w:t>
            </w:r>
            <w:proofErr w:type="spellStart"/>
            <w:r w:rsidRPr="004B5149">
              <w:t>su</w:t>
            </w:r>
            <w:proofErr w:type="spellEnd"/>
            <w:r w:rsidRPr="004B5149">
              <w:t xml:space="preserve"> </w:t>
            </w:r>
            <w:proofErr w:type="spellStart"/>
            <w:r w:rsidRPr="004B5149">
              <w:t>contexto</w:t>
            </w:r>
            <w:proofErr w:type="spellEnd"/>
            <w:r w:rsidRPr="004B5149">
              <w:t xml:space="preserve"> la </w:t>
            </w:r>
            <w:proofErr w:type="spellStart"/>
            <w:r w:rsidRPr="004B5149">
              <w:t>intervención</w:t>
            </w:r>
            <w:proofErr w:type="spellEnd"/>
            <w:r w:rsidRPr="004B5149">
              <w:t xml:space="preserve"> </w:t>
            </w:r>
            <w:proofErr w:type="spellStart"/>
            <w:r w:rsidRPr="004B5149">
              <w:t>descrita</w:t>
            </w:r>
            <w:proofErr w:type="spellEnd"/>
            <w:r w:rsidR="008F19DE" w:rsidRPr="004B5149">
              <w:t xml:space="preserve">? </w:t>
            </w:r>
          </w:p>
          <w:p w14:paraId="26F54EBB" w14:textId="51D69A3C" w:rsidR="008F19DE" w:rsidRDefault="001E128B" w:rsidP="000829BE">
            <w:proofErr w:type="spellStart"/>
            <w:r w:rsidRPr="001E128B">
              <w:t>Transcurridos</w:t>
            </w:r>
            <w:proofErr w:type="spellEnd"/>
            <w:r w:rsidRPr="001E128B">
              <w:t xml:space="preserve"> 15 </w:t>
            </w:r>
            <w:proofErr w:type="spellStart"/>
            <w:r w:rsidRPr="001E128B">
              <w:t>minutos</w:t>
            </w:r>
            <w:proofErr w:type="spellEnd"/>
            <w:r w:rsidRPr="001E128B">
              <w:t xml:space="preserve">, </w:t>
            </w:r>
            <w:proofErr w:type="spellStart"/>
            <w:r w:rsidRPr="001E128B">
              <w:t>vuelva</w:t>
            </w:r>
            <w:proofErr w:type="spellEnd"/>
            <w:r w:rsidRPr="001E128B">
              <w:t xml:space="preserve"> a </w:t>
            </w:r>
            <w:proofErr w:type="spellStart"/>
            <w:r w:rsidRPr="001E128B">
              <w:t>reunir</w:t>
            </w:r>
            <w:proofErr w:type="spellEnd"/>
            <w:r w:rsidRPr="001E128B">
              <w:t xml:space="preserve"> al </w:t>
            </w:r>
            <w:proofErr w:type="spellStart"/>
            <w:r w:rsidRPr="001E128B">
              <w:t>grupo</w:t>
            </w:r>
            <w:proofErr w:type="spellEnd"/>
            <w:r w:rsidRPr="001E128B">
              <w:t xml:space="preserve"> </w:t>
            </w:r>
            <w:proofErr w:type="spellStart"/>
            <w:r w:rsidRPr="001E128B">
              <w:t>en</w:t>
            </w:r>
            <w:proofErr w:type="spellEnd"/>
            <w:r w:rsidRPr="001E128B">
              <w:t xml:space="preserve"> </w:t>
            </w:r>
            <w:proofErr w:type="spellStart"/>
            <w:r w:rsidRPr="001E128B">
              <w:t>sesión</w:t>
            </w:r>
            <w:proofErr w:type="spellEnd"/>
            <w:r w:rsidRPr="001E128B">
              <w:t xml:space="preserve"> </w:t>
            </w:r>
            <w:proofErr w:type="spellStart"/>
            <w:r w:rsidRPr="001E128B">
              <w:t>plenaria</w:t>
            </w:r>
            <w:proofErr w:type="spellEnd"/>
            <w:r w:rsidRPr="001E128B">
              <w:t xml:space="preserve"> y </w:t>
            </w:r>
            <w:proofErr w:type="spellStart"/>
            <w:r w:rsidRPr="001E128B">
              <w:t>explíquelo</w:t>
            </w:r>
            <w:proofErr w:type="spellEnd"/>
            <w:r w:rsidRPr="001E128B">
              <w:t xml:space="preserve">: Los </w:t>
            </w:r>
            <w:proofErr w:type="spellStart"/>
            <w:r w:rsidRPr="001E128B">
              <w:t>Anfitriones</w:t>
            </w:r>
            <w:proofErr w:type="spellEnd"/>
            <w:r w:rsidRPr="001E128B">
              <w:t xml:space="preserve"> de Mesa </w:t>
            </w:r>
            <w:proofErr w:type="spellStart"/>
            <w:r w:rsidRPr="001E128B">
              <w:t>permanecerán</w:t>
            </w:r>
            <w:proofErr w:type="spellEnd"/>
            <w:r w:rsidRPr="001E128B">
              <w:t xml:space="preserve"> con </w:t>
            </w:r>
            <w:proofErr w:type="spellStart"/>
            <w:r w:rsidRPr="001E128B">
              <w:t>el</w:t>
            </w:r>
            <w:proofErr w:type="spellEnd"/>
            <w:r w:rsidRPr="001E128B">
              <w:t xml:space="preserve"> </w:t>
            </w:r>
            <w:proofErr w:type="spellStart"/>
            <w:r w:rsidRPr="001E128B">
              <w:t>mismo</w:t>
            </w:r>
            <w:proofErr w:type="spellEnd"/>
            <w:r w:rsidRPr="001E128B">
              <w:t xml:space="preserve"> </w:t>
            </w:r>
            <w:proofErr w:type="spellStart"/>
            <w:r w:rsidRPr="001E128B">
              <w:t>estudio</w:t>
            </w:r>
            <w:proofErr w:type="spellEnd"/>
            <w:r w:rsidRPr="001E128B">
              <w:t xml:space="preserve"> de </w:t>
            </w:r>
            <w:proofErr w:type="spellStart"/>
            <w:r w:rsidRPr="001E128B">
              <w:t>caso</w:t>
            </w:r>
            <w:proofErr w:type="spellEnd"/>
            <w:r w:rsidRPr="001E128B">
              <w:t xml:space="preserve">. Los </w:t>
            </w:r>
            <w:proofErr w:type="spellStart"/>
            <w:r w:rsidRPr="001E128B">
              <w:t>demás</w:t>
            </w:r>
            <w:proofErr w:type="spellEnd"/>
            <w:r w:rsidRPr="001E128B">
              <w:t xml:space="preserve"> </w:t>
            </w:r>
            <w:proofErr w:type="spellStart"/>
            <w:r w:rsidRPr="001E128B">
              <w:t>participantes</w:t>
            </w:r>
            <w:proofErr w:type="spellEnd"/>
            <w:r w:rsidRPr="001E128B">
              <w:t xml:space="preserve"> </w:t>
            </w:r>
            <w:proofErr w:type="spellStart"/>
            <w:r w:rsidRPr="001E128B">
              <w:t>pasarán</w:t>
            </w:r>
            <w:proofErr w:type="spellEnd"/>
            <w:r w:rsidRPr="001E128B">
              <w:t xml:space="preserve"> a un </w:t>
            </w:r>
            <w:proofErr w:type="spellStart"/>
            <w:r w:rsidRPr="001E128B">
              <w:t>estudio</w:t>
            </w:r>
            <w:proofErr w:type="spellEnd"/>
            <w:r w:rsidRPr="001E128B">
              <w:t xml:space="preserve"> de </w:t>
            </w:r>
            <w:proofErr w:type="spellStart"/>
            <w:r w:rsidRPr="001E128B">
              <w:t>caso</w:t>
            </w:r>
            <w:proofErr w:type="spellEnd"/>
            <w:r w:rsidRPr="001E128B">
              <w:t xml:space="preserve"> </w:t>
            </w:r>
            <w:proofErr w:type="spellStart"/>
            <w:r w:rsidRPr="001E128B">
              <w:t>diferente</w:t>
            </w:r>
            <w:proofErr w:type="spellEnd"/>
            <w:r w:rsidRPr="001E128B">
              <w:t xml:space="preserve">. </w:t>
            </w:r>
            <w:proofErr w:type="spellStart"/>
            <w:r w:rsidRPr="001E128B">
              <w:t>Deberán</w:t>
            </w:r>
            <w:proofErr w:type="spellEnd"/>
            <w:r w:rsidRPr="001E128B">
              <w:t xml:space="preserve"> leer </w:t>
            </w:r>
            <w:proofErr w:type="spellStart"/>
            <w:r w:rsidRPr="001E128B">
              <w:t>el</w:t>
            </w:r>
            <w:proofErr w:type="spellEnd"/>
            <w:r w:rsidRPr="001E128B">
              <w:t xml:space="preserve"> </w:t>
            </w:r>
            <w:proofErr w:type="spellStart"/>
            <w:r w:rsidRPr="001E128B">
              <w:t>estudio</w:t>
            </w:r>
            <w:proofErr w:type="spellEnd"/>
            <w:r w:rsidRPr="001E128B">
              <w:t xml:space="preserve"> de </w:t>
            </w:r>
            <w:proofErr w:type="spellStart"/>
            <w:r w:rsidRPr="001E128B">
              <w:t>caso</w:t>
            </w:r>
            <w:proofErr w:type="spellEnd"/>
            <w:r w:rsidRPr="001E128B">
              <w:t xml:space="preserve">, </w:t>
            </w:r>
            <w:proofErr w:type="spellStart"/>
            <w:r w:rsidRPr="001E128B">
              <w:t>revisar</w:t>
            </w:r>
            <w:proofErr w:type="spellEnd"/>
            <w:r w:rsidRPr="001E128B">
              <w:t xml:space="preserve"> las </w:t>
            </w:r>
            <w:proofErr w:type="spellStart"/>
            <w:r w:rsidRPr="001E128B">
              <w:t>respuestas</w:t>
            </w:r>
            <w:proofErr w:type="spellEnd"/>
            <w:r w:rsidRPr="001E128B">
              <w:t xml:space="preserve"> del </w:t>
            </w:r>
            <w:proofErr w:type="spellStart"/>
            <w:r w:rsidRPr="001E128B">
              <w:t>grupo</w:t>
            </w:r>
            <w:proofErr w:type="spellEnd"/>
            <w:r w:rsidRPr="001E128B">
              <w:t xml:space="preserve"> anterior y, a </w:t>
            </w:r>
            <w:proofErr w:type="spellStart"/>
            <w:r w:rsidRPr="001E128B">
              <w:t>continuación</w:t>
            </w:r>
            <w:proofErr w:type="spellEnd"/>
            <w:r w:rsidRPr="001E128B">
              <w:t xml:space="preserve">, responder a </w:t>
            </w:r>
            <w:proofErr w:type="spellStart"/>
            <w:r w:rsidRPr="001E128B">
              <w:t>una</w:t>
            </w:r>
            <w:proofErr w:type="spellEnd"/>
            <w:r w:rsidRPr="001E128B">
              <w:t xml:space="preserve"> </w:t>
            </w:r>
            <w:proofErr w:type="spellStart"/>
            <w:r w:rsidRPr="001E128B">
              <w:t>pregunta</w:t>
            </w:r>
            <w:proofErr w:type="spellEnd"/>
            <w:r w:rsidRPr="001E128B">
              <w:t xml:space="preserve"> </w:t>
            </w:r>
            <w:proofErr w:type="spellStart"/>
            <w:r w:rsidRPr="001E128B">
              <w:t>adicional</w:t>
            </w:r>
            <w:proofErr w:type="spellEnd"/>
            <w:r w:rsidR="008F19DE" w:rsidRPr="001E128B">
              <w:t>:</w:t>
            </w:r>
            <w:r w:rsidR="008F19DE">
              <w:t xml:space="preserve"> </w:t>
            </w:r>
          </w:p>
          <w:p w14:paraId="2BDA2F1B" w14:textId="7180618B" w:rsidR="008F19DE" w:rsidRDefault="009D774E" w:rsidP="009D774E">
            <w:pPr>
              <w:pStyle w:val="NormalTextBulletsLevel1"/>
            </w:pPr>
            <w:r w:rsidRPr="009D774E">
              <w:t>¿</w:t>
            </w:r>
            <w:proofErr w:type="spellStart"/>
            <w:r w:rsidRPr="009D774E">
              <w:t>Qué</w:t>
            </w:r>
            <w:proofErr w:type="spellEnd"/>
            <w:r w:rsidRPr="009D774E">
              <w:t xml:space="preserve"> </w:t>
            </w:r>
            <w:proofErr w:type="spellStart"/>
            <w:r w:rsidRPr="009D774E">
              <w:t>tipo</w:t>
            </w:r>
            <w:proofErr w:type="spellEnd"/>
            <w:r w:rsidRPr="009D774E">
              <w:t xml:space="preserve"> de </w:t>
            </w:r>
            <w:proofErr w:type="spellStart"/>
            <w:r w:rsidRPr="009D774E">
              <w:t>desafíos</w:t>
            </w:r>
            <w:proofErr w:type="spellEnd"/>
            <w:r w:rsidRPr="009D774E">
              <w:t xml:space="preserve"> </w:t>
            </w:r>
            <w:proofErr w:type="spellStart"/>
            <w:r w:rsidRPr="009D774E">
              <w:t>podría</w:t>
            </w:r>
            <w:proofErr w:type="spellEnd"/>
            <w:r w:rsidRPr="009D774E">
              <w:t xml:space="preserve"> </w:t>
            </w:r>
            <w:proofErr w:type="spellStart"/>
            <w:r w:rsidRPr="009D774E">
              <w:t>encontrar</w:t>
            </w:r>
            <w:proofErr w:type="spellEnd"/>
            <w:r w:rsidRPr="009D774E">
              <w:t xml:space="preserve"> con </w:t>
            </w:r>
            <w:proofErr w:type="spellStart"/>
            <w:r w:rsidRPr="009D774E">
              <w:t>esta</w:t>
            </w:r>
            <w:proofErr w:type="spellEnd"/>
            <w:r w:rsidRPr="009D774E">
              <w:t xml:space="preserve"> norma?</w:t>
            </w:r>
          </w:p>
          <w:p w14:paraId="36E83EE8" w14:textId="4A2CD9C2" w:rsidR="00CE316F" w:rsidRPr="00F32A42" w:rsidRDefault="00D71A15" w:rsidP="000829BE">
            <w:proofErr w:type="spellStart"/>
            <w:r w:rsidRPr="00D71A15">
              <w:t>Deje</w:t>
            </w:r>
            <w:proofErr w:type="spellEnd"/>
            <w:r w:rsidRPr="00D71A15">
              <w:t xml:space="preserve"> 15 </w:t>
            </w:r>
            <w:proofErr w:type="spellStart"/>
            <w:r w:rsidRPr="00D71A15">
              <w:t>minutos</w:t>
            </w:r>
            <w:proofErr w:type="spellEnd"/>
            <w:r w:rsidRPr="00D71A15">
              <w:t xml:space="preserve"> para </w:t>
            </w:r>
            <w:proofErr w:type="spellStart"/>
            <w:r w:rsidRPr="00D71A15">
              <w:t>el</w:t>
            </w:r>
            <w:proofErr w:type="spellEnd"/>
            <w:r w:rsidRPr="00D71A15">
              <w:t xml:space="preserve"> debate. Cierre las salas de </w:t>
            </w:r>
            <w:proofErr w:type="spellStart"/>
            <w:r w:rsidRPr="00D71A15">
              <w:t>reunión</w:t>
            </w:r>
            <w:proofErr w:type="spellEnd"/>
            <w:r w:rsidRPr="00D71A15">
              <w:t xml:space="preserve"> y </w:t>
            </w:r>
            <w:proofErr w:type="spellStart"/>
            <w:r w:rsidRPr="00D71A15">
              <w:t>deje</w:t>
            </w:r>
            <w:proofErr w:type="spellEnd"/>
            <w:r w:rsidRPr="00D71A15">
              <w:t xml:space="preserve"> un </w:t>
            </w:r>
            <w:proofErr w:type="spellStart"/>
            <w:r w:rsidRPr="00D71A15">
              <w:t>descanso</w:t>
            </w:r>
            <w:proofErr w:type="spellEnd"/>
            <w:r w:rsidRPr="00D71A15">
              <w:t xml:space="preserve"> de 5 </w:t>
            </w:r>
            <w:proofErr w:type="spellStart"/>
            <w:r w:rsidRPr="00D71A15">
              <w:t>minutos</w:t>
            </w:r>
            <w:proofErr w:type="spellEnd"/>
            <w:r w:rsidR="008F19DE">
              <w:t xml:space="preserve">. </w:t>
            </w:r>
          </w:p>
        </w:tc>
        <w:tc>
          <w:tcPr>
            <w:tcW w:w="9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Default="00CE316F" w:rsidP="000829BE">
            <w:pPr>
              <w:rPr>
                <w:rStyle w:val="Emphasis"/>
                <w:i w:val="0"/>
                <w:iCs w:val="0"/>
              </w:rPr>
            </w:pPr>
          </w:p>
          <w:p w14:paraId="06C21597" w14:textId="0969AC3C" w:rsidR="00CE316F" w:rsidRPr="00B11BDB" w:rsidRDefault="005B73FD" w:rsidP="000829BE">
            <w:r>
              <w:rPr>
                <w:rStyle w:val="Emphasis"/>
                <w:i w:val="0"/>
                <w:iCs w:val="0"/>
              </w:rPr>
              <w:t>6</w:t>
            </w:r>
            <w:r w:rsidR="00CE316F">
              <w:rPr>
                <w:rStyle w:val="Emphasis"/>
                <w:i w:val="0"/>
                <w:iCs w:val="0"/>
              </w:rPr>
              <w:t>0</w:t>
            </w:r>
            <w:r w:rsidR="00CE316F" w:rsidRPr="00B11BDB">
              <w:rPr>
                <w:rStyle w:val="Emphasis"/>
                <w:i w:val="0"/>
                <w:iCs w:val="0"/>
              </w:rPr>
              <w:t xml:space="preserve"> min</w:t>
            </w:r>
          </w:p>
        </w:tc>
      </w:tr>
      <w:tr w:rsidR="00CE316F" w:rsidRPr="00B11BDB" w14:paraId="27F4A492" w14:textId="77777777" w:rsidTr="00272067">
        <w:tc>
          <w:tcPr>
            <w:tcW w:w="7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8758A" w14:textId="1E7B235C" w:rsidR="00710FF4" w:rsidRPr="005A07DB" w:rsidRDefault="00AF2AB7" w:rsidP="00AF2AB7">
            <w:proofErr w:type="spellStart"/>
            <w:r>
              <w:rPr>
                <w:b/>
              </w:rPr>
              <w:lastRenderedPageBreak/>
              <w:t>Instrucciones</w:t>
            </w:r>
            <w:proofErr w:type="spellEnd"/>
            <w:r>
              <w:rPr>
                <w:b/>
              </w:rPr>
              <w:t xml:space="preserve">: </w:t>
            </w:r>
            <w:r>
              <w:t xml:space="preserve">En </w:t>
            </w:r>
            <w:proofErr w:type="spellStart"/>
            <w:r>
              <w:t>sesión</w:t>
            </w:r>
            <w:proofErr w:type="spellEnd"/>
            <w:r>
              <w:t xml:space="preserve"> </w:t>
            </w:r>
            <w:proofErr w:type="spellStart"/>
            <w:r>
              <w:t>plenaria</w:t>
            </w:r>
            <w:proofErr w:type="spellEnd"/>
            <w:r>
              <w:t xml:space="preserve">, </w:t>
            </w:r>
            <w:proofErr w:type="spellStart"/>
            <w:r>
              <w:t>pida</w:t>
            </w:r>
            <w:proofErr w:type="spellEnd"/>
            <w:r>
              <w:t xml:space="preserve"> a </w:t>
            </w:r>
            <w:proofErr w:type="spellStart"/>
            <w:r>
              <w:t>los</w:t>
            </w:r>
            <w:proofErr w:type="spellEnd"/>
            <w:r>
              <w:t xml:space="preserve"> </w:t>
            </w:r>
            <w:proofErr w:type="spellStart"/>
            <w:r>
              <w:t>anfitriones</w:t>
            </w:r>
            <w:proofErr w:type="spellEnd"/>
            <w:r>
              <w:t xml:space="preserve"> de las mesas que </w:t>
            </w:r>
            <w:proofErr w:type="spellStart"/>
            <w:r>
              <w:t>presenten</w:t>
            </w:r>
            <w:proofErr w:type="spellEnd"/>
            <w:r>
              <w:t xml:space="preserve"> </w:t>
            </w:r>
            <w:proofErr w:type="spellStart"/>
            <w:r>
              <w:t>el</w:t>
            </w:r>
            <w:proofErr w:type="spellEnd"/>
            <w:r>
              <w:t xml:space="preserve"> </w:t>
            </w:r>
            <w:proofErr w:type="spellStart"/>
            <w:r>
              <w:t>estudio</w:t>
            </w:r>
            <w:proofErr w:type="spellEnd"/>
            <w:r>
              <w:t xml:space="preserve"> de </w:t>
            </w:r>
            <w:proofErr w:type="spellStart"/>
            <w:r>
              <w:t>caso</w:t>
            </w:r>
            <w:proofErr w:type="spellEnd"/>
            <w:r>
              <w:t xml:space="preserve"> que se les ha </w:t>
            </w:r>
            <w:proofErr w:type="spellStart"/>
            <w:r>
              <w:t>asignado</w:t>
            </w:r>
            <w:proofErr w:type="spellEnd"/>
            <w:r>
              <w:t xml:space="preserve">. Pida a </w:t>
            </w:r>
            <w:proofErr w:type="spellStart"/>
            <w:r>
              <w:t>los</w:t>
            </w:r>
            <w:proofErr w:type="spellEnd"/>
            <w:r>
              <w:t xml:space="preserve"> </w:t>
            </w:r>
            <w:proofErr w:type="spellStart"/>
            <w:r>
              <w:t>demás</w:t>
            </w:r>
            <w:proofErr w:type="spellEnd"/>
            <w:r>
              <w:t xml:space="preserve"> </w:t>
            </w:r>
            <w:proofErr w:type="spellStart"/>
            <w:r>
              <w:t>grupos</w:t>
            </w:r>
            <w:proofErr w:type="spellEnd"/>
            <w:r>
              <w:t xml:space="preserve"> que </w:t>
            </w:r>
            <w:proofErr w:type="spellStart"/>
            <w:r>
              <w:t>complementen</w:t>
            </w:r>
            <w:proofErr w:type="spellEnd"/>
            <w:r>
              <w:t xml:space="preserve"> y </w:t>
            </w:r>
            <w:proofErr w:type="spellStart"/>
            <w:r>
              <w:t>acepten</w:t>
            </w:r>
            <w:proofErr w:type="spellEnd"/>
            <w:r>
              <w:t xml:space="preserve"> </w:t>
            </w:r>
            <w:proofErr w:type="spellStart"/>
            <w:r>
              <w:t>preguntas</w:t>
            </w:r>
            <w:proofErr w:type="spellEnd"/>
            <w:r>
              <w:t xml:space="preserve">. </w:t>
            </w:r>
            <w:proofErr w:type="spellStart"/>
            <w:r>
              <w:t>Complemente</w:t>
            </w:r>
            <w:proofErr w:type="spellEnd"/>
            <w:r>
              <w:t xml:space="preserve"> con la </w:t>
            </w:r>
            <w:proofErr w:type="spellStart"/>
            <w:r>
              <w:t>información</w:t>
            </w:r>
            <w:proofErr w:type="spellEnd"/>
            <w:r>
              <w:t xml:space="preserve"> de la norma </w:t>
            </w:r>
            <w:proofErr w:type="spellStart"/>
            <w:r>
              <w:t>correspondiente</w:t>
            </w:r>
            <w:proofErr w:type="spellEnd"/>
            <w:r>
              <w:t xml:space="preserve">. </w:t>
            </w:r>
          </w:p>
        </w:tc>
        <w:tc>
          <w:tcPr>
            <w:tcW w:w="6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DDD8A" w14:textId="77777777" w:rsidR="00CF3137" w:rsidRDefault="00CF3137" w:rsidP="00CF3137">
            <w:r>
              <w:t xml:space="preserve">A </w:t>
            </w:r>
            <w:proofErr w:type="spellStart"/>
            <w:r>
              <w:t>continuación</w:t>
            </w:r>
            <w:proofErr w:type="spellEnd"/>
            <w:r>
              <w:t xml:space="preserve">, </w:t>
            </w:r>
            <w:proofErr w:type="spellStart"/>
            <w:r>
              <w:t>vuelva</w:t>
            </w:r>
            <w:proofErr w:type="spellEnd"/>
            <w:r>
              <w:t xml:space="preserve"> al </w:t>
            </w:r>
            <w:proofErr w:type="spellStart"/>
            <w:r>
              <w:t>plenario</w:t>
            </w:r>
            <w:proofErr w:type="spellEnd"/>
            <w:r>
              <w:t xml:space="preserve"> para las </w:t>
            </w:r>
            <w:proofErr w:type="spellStart"/>
            <w:r>
              <w:t>presentaciones</w:t>
            </w:r>
            <w:proofErr w:type="spellEnd"/>
            <w:r>
              <w:t xml:space="preserve"> de </w:t>
            </w:r>
            <w:proofErr w:type="spellStart"/>
            <w:r>
              <w:t>los</w:t>
            </w:r>
            <w:proofErr w:type="spellEnd"/>
            <w:r>
              <w:t xml:space="preserve"> </w:t>
            </w:r>
            <w:proofErr w:type="spellStart"/>
            <w:r>
              <w:t>anfitriones</w:t>
            </w:r>
            <w:proofErr w:type="spellEnd"/>
            <w:r>
              <w:t xml:space="preserve"> de </w:t>
            </w:r>
            <w:proofErr w:type="spellStart"/>
            <w:r>
              <w:t>cada</w:t>
            </w:r>
            <w:proofErr w:type="spellEnd"/>
            <w:r>
              <w:t xml:space="preserve"> mesa. </w:t>
            </w:r>
          </w:p>
          <w:p w14:paraId="21A53C8D" w14:textId="6A38F755" w:rsidR="00CE316F" w:rsidRPr="008D06BF" w:rsidRDefault="00CF3137" w:rsidP="00CF3137">
            <w:proofErr w:type="spellStart"/>
            <w:r>
              <w:t>Muestre</w:t>
            </w:r>
            <w:proofErr w:type="spellEnd"/>
            <w:r>
              <w:t xml:space="preserve"> la </w:t>
            </w:r>
            <w:proofErr w:type="spellStart"/>
            <w:r>
              <w:t>pizarra</w:t>
            </w:r>
            <w:proofErr w:type="spellEnd"/>
            <w:r>
              <w:t xml:space="preserve"> virtual para </w:t>
            </w:r>
            <w:proofErr w:type="spellStart"/>
            <w:r>
              <w:t>cada</w:t>
            </w:r>
            <w:proofErr w:type="spellEnd"/>
            <w:r>
              <w:t xml:space="preserve"> uno de </w:t>
            </w:r>
            <w:proofErr w:type="spellStart"/>
            <w:r>
              <w:t>los</w:t>
            </w:r>
            <w:proofErr w:type="spellEnd"/>
            <w:r>
              <w:t xml:space="preserve"> </w:t>
            </w:r>
            <w:proofErr w:type="spellStart"/>
            <w:r>
              <w:t>estudios</w:t>
            </w:r>
            <w:proofErr w:type="spellEnd"/>
            <w:r>
              <w:t xml:space="preserve"> de </w:t>
            </w:r>
            <w:proofErr w:type="spellStart"/>
            <w:r>
              <w:t>caso</w:t>
            </w:r>
            <w:proofErr w:type="spellEnd"/>
            <w:r>
              <w:t xml:space="preserve"> que se </w:t>
            </w:r>
            <w:proofErr w:type="spellStart"/>
            <w:r>
              <w:t>estén</w:t>
            </w:r>
            <w:proofErr w:type="spellEnd"/>
            <w:r>
              <w:t xml:space="preserve"> </w:t>
            </w:r>
            <w:proofErr w:type="spellStart"/>
            <w:r>
              <w:t>debatiendo</w:t>
            </w:r>
            <w:proofErr w:type="spellEnd"/>
            <w:r>
              <w:t>.</w:t>
            </w:r>
          </w:p>
        </w:tc>
        <w:tc>
          <w:tcPr>
            <w:tcW w:w="9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0A0C6" w14:textId="61D7997E" w:rsidR="00CE316F" w:rsidRPr="00B11BDB" w:rsidRDefault="00FE3915" w:rsidP="000829BE">
            <w:r>
              <w:rPr>
                <w:rStyle w:val="Emphasis"/>
                <w:i w:val="0"/>
                <w:iCs w:val="0"/>
              </w:rPr>
              <w:t>45</w:t>
            </w:r>
            <w:r w:rsidR="00CE316F" w:rsidRPr="00B11BDB">
              <w:rPr>
                <w:rStyle w:val="Emphasis"/>
                <w:i w:val="0"/>
                <w:iCs w:val="0"/>
              </w:rPr>
              <w:t xml:space="preserve"> min</w:t>
            </w:r>
          </w:p>
        </w:tc>
      </w:tr>
      <w:tr w:rsidR="00CE316F" w:rsidRPr="00B11BDB" w14:paraId="1E81CFCA" w14:textId="77777777" w:rsidTr="00272067">
        <w:tc>
          <w:tcPr>
            <w:tcW w:w="72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49AB35" w14:textId="57A63EFB" w:rsidR="004C26E3" w:rsidRPr="004C26E3" w:rsidRDefault="00ED4759" w:rsidP="000829BE">
            <w:pPr>
              <w:pStyle w:val="TableSmallBlueHeading"/>
            </w:pPr>
            <w:proofErr w:type="spellStart"/>
            <w:r w:rsidRPr="00ED4759">
              <w:t>Resumen</w:t>
            </w:r>
            <w:proofErr w:type="spellEnd"/>
            <w:r w:rsidRPr="00ED4759">
              <w:t xml:space="preserve"> de la </w:t>
            </w:r>
            <w:r w:rsidR="004A4B06">
              <w:t xml:space="preserve">session </w:t>
            </w:r>
          </w:p>
          <w:p w14:paraId="22942763" w14:textId="77777777" w:rsidR="004A4B06" w:rsidRDefault="004A4B06" w:rsidP="004A4B06">
            <w:proofErr w:type="spellStart"/>
            <w:r>
              <w:t>Recuerde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mostrando</w:t>
            </w:r>
            <w:proofErr w:type="spellEnd"/>
            <w:r>
              <w:t xml:space="preserve"> la </w:t>
            </w:r>
            <w:proofErr w:type="spellStart"/>
            <w:r>
              <w:t>diapositiva</w:t>
            </w:r>
            <w:proofErr w:type="spellEnd"/>
            <w:r>
              <w:t xml:space="preserve"> 33. </w:t>
            </w:r>
          </w:p>
          <w:p w14:paraId="28B7CF58" w14:textId="77777777" w:rsidR="004A4B06" w:rsidRDefault="004A4B06" w:rsidP="004A4B06"/>
          <w:p w14:paraId="467E8B45" w14:textId="669A49D1" w:rsidR="00C24AA6" w:rsidRPr="00C24AA6" w:rsidRDefault="004A4B06" w:rsidP="004A4B06">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rsidR="00C24AA6" w:rsidRPr="00C24AA6">
              <w:t xml:space="preserve">: </w:t>
            </w:r>
          </w:p>
          <w:p w14:paraId="1823BBC4" w14:textId="77777777" w:rsidR="00C85EBC" w:rsidRDefault="00C85EBC" w:rsidP="00C85EBC">
            <w:pPr>
              <w:pStyle w:val="NormalTextBulletsLevel1"/>
            </w:pPr>
            <w:r>
              <w:t>¿</w:t>
            </w:r>
            <w:proofErr w:type="spellStart"/>
            <w:r>
              <w:t>Qué</w:t>
            </w:r>
            <w:proofErr w:type="spellEnd"/>
            <w:r>
              <w:t xml:space="preserve"> </w:t>
            </w:r>
            <w:proofErr w:type="spellStart"/>
            <w:r>
              <w:t>puedes</w:t>
            </w:r>
            <w:proofErr w:type="spellEnd"/>
            <w:r>
              <w:t xml:space="preserve"> </w:t>
            </w:r>
            <w:proofErr w:type="spellStart"/>
            <w:r>
              <w:t>hacer</w:t>
            </w:r>
            <w:proofErr w:type="spellEnd"/>
            <w:r>
              <w:t xml:space="preserve"> </w:t>
            </w:r>
            <w:proofErr w:type="spellStart"/>
            <w:r>
              <w:t>ahora</w:t>
            </w:r>
            <w:proofErr w:type="spellEnd"/>
            <w:r>
              <w:t xml:space="preserve"> con lo que has </w:t>
            </w:r>
            <w:proofErr w:type="spellStart"/>
            <w:r>
              <w:t>aprendido</w:t>
            </w:r>
            <w:proofErr w:type="spellEnd"/>
            <w:r>
              <w:t xml:space="preserve"> </w:t>
            </w:r>
            <w:proofErr w:type="spellStart"/>
            <w:r>
              <w:t>sobre</w:t>
            </w:r>
            <w:proofErr w:type="spellEnd"/>
            <w:r>
              <w:t xml:space="preserve"> las </w:t>
            </w:r>
            <w:proofErr w:type="spellStart"/>
            <w:r>
              <w:t>estrategias</w:t>
            </w:r>
            <w:proofErr w:type="spellEnd"/>
            <w:r>
              <w:t xml:space="preserve"> de PN?</w:t>
            </w:r>
          </w:p>
          <w:p w14:paraId="7A559577" w14:textId="1871F2CA" w:rsidR="00CE316F" w:rsidRPr="005E160D" w:rsidRDefault="00C85EBC" w:rsidP="00C85EBC">
            <w:pPr>
              <w:pStyle w:val="NormalTextBulletsLevel1"/>
              <w:rPr>
                <w:rStyle w:val="Emphasis"/>
                <w:rFonts w:ascii="Arial" w:hAnsi="Arial" w:cs="Arial"/>
                <w:i w:val="0"/>
                <w:iCs w:val="0"/>
                <w:color w:val="000000"/>
              </w:rPr>
            </w:pPr>
            <w:r>
              <w:t>¿</w:t>
            </w:r>
            <w:proofErr w:type="spellStart"/>
            <w:r>
              <w:t>Qué</w:t>
            </w:r>
            <w:proofErr w:type="spellEnd"/>
            <w:r>
              <w:t xml:space="preserve"> es lo </w:t>
            </w:r>
            <w:proofErr w:type="spellStart"/>
            <w:r>
              <w:t>más</w:t>
            </w:r>
            <w:proofErr w:type="spellEnd"/>
            <w:r>
              <w:t xml:space="preserve"> </w:t>
            </w:r>
            <w:proofErr w:type="spellStart"/>
            <w:r>
              <w:t>importante</w:t>
            </w:r>
            <w:proofErr w:type="spellEnd"/>
            <w:r>
              <w:t xml:space="preserve"> que has </w:t>
            </w:r>
            <w:proofErr w:type="spellStart"/>
            <w:r>
              <w:t>aprendido</w:t>
            </w:r>
            <w:proofErr w:type="spellEnd"/>
            <w:r>
              <w:t xml:space="preserve"> hoy?</w:t>
            </w:r>
          </w:p>
        </w:tc>
        <w:tc>
          <w:tcPr>
            <w:tcW w:w="6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EDEFFC" w14:textId="77777777" w:rsidR="00C36BCB" w:rsidRDefault="00C36BCB" w:rsidP="000829BE"/>
          <w:p w14:paraId="5FF6FB54" w14:textId="77777777" w:rsidR="00C36BCB" w:rsidRDefault="00C36BCB" w:rsidP="000829BE"/>
          <w:p w14:paraId="7067AC8C" w14:textId="25A75AE0" w:rsidR="00C36BCB" w:rsidRPr="00C36BCB" w:rsidRDefault="00C36BCB" w:rsidP="000829BE"/>
        </w:tc>
        <w:tc>
          <w:tcPr>
            <w:tcW w:w="9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Default="00CE316F" w:rsidP="000829BE">
            <w:pPr>
              <w:rPr>
                <w:rStyle w:val="Emphasis"/>
                <w:i w:val="0"/>
                <w:iCs w:val="0"/>
              </w:rPr>
            </w:pPr>
          </w:p>
          <w:p w14:paraId="54536621" w14:textId="043DC734" w:rsidR="00CE316F" w:rsidRPr="00B11BDB" w:rsidRDefault="00C24AA6" w:rsidP="000829BE">
            <w:pPr>
              <w:rPr>
                <w:rStyle w:val="Emphasis"/>
                <w:i w:val="0"/>
                <w:iCs w:val="0"/>
              </w:rPr>
            </w:pPr>
            <w:r>
              <w:rPr>
                <w:rStyle w:val="Emphasis"/>
                <w:i w:val="0"/>
                <w:iCs w:val="0"/>
              </w:rPr>
              <w:t>5</w:t>
            </w:r>
            <w:r w:rsidR="00CE316F" w:rsidRPr="00B11BDB">
              <w:rPr>
                <w:rStyle w:val="Emphasis"/>
                <w:i w:val="0"/>
                <w:iCs w:val="0"/>
              </w:rPr>
              <w:t xml:space="preserve"> Min</w:t>
            </w:r>
          </w:p>
        </w:tc>
      </w:tr>
    </w:tbl>
    <w:p w14:paraId="6F561B0F" w14:textId="0080E6B0" w:rsidR="00F11B8A" w:rsidRDefault="00272067" w:rsidP="00272067">
      <w:pPr>
        <w:pStyle w:val="1Heading1"/>
      </w:pPr>
      <w:r w:rsidRPr="00272067">
        <w:lastRenderedPageBreak/>
        <w:t>Información Complementaria</w:t>
      </w:r>
    </w:p>
    <w:p w14:paraId="202781F5" w14:textId="77777777" w:rsidR="00F96683" w:rsidRDefault="00F96683" w:rsidP="000829BE"/>
    <w:p w14:paraId="6DD4E46C" w14:textId="77777777" w:rsidR="00B42377" w:rsidRDefault="00B42377" w:rsidP="000829BE"/>
    <w:p w14:paraId="4E606F1B" w14:textId="77777777" w:rsidR="00B42377" w:rsidRDefault="00B42377" w:rsidP="000829BE"/>
    <w:p w14:paraId="67AE7EAD" w14:textId="6C503003" w:rsidR="00F11B8A" w:rsidRPr="00F11B8A" w:rsidRDefault="002C44D5" w:rsidP="002C44D5">
      <w:pPr>
        <w:pStyle w:val="1Heading1"/>
      </w:pPr>
      <w:r w:rsidRPr="002C44D5">
        <w:t>Recursos Adicionales</w:t>
      </w:r>
    </w:p>
    <w:p w14:paraId="02AA4D62" w14:textId="77777777" w:rsidR="00B53841" w:rsidRDefault="00B53841" w:rsidP="000829BE"/>
    <w:p w14:paraId="0617D719" w14:textId="77777777" w:rsidR="00213235" w:rsidRPr="00213235" w:rsidRDefault="00213235" w:rsidP="00213235">
      <w:hyperlink r:id="rId13">
        <w:proofErr w:type="spellStart"/>
        <w:r w:rsidRPr="00213235">
          <w:rPr>
            <w:rStyle w:val="Hyperlink"/>
            <w:color w:val="0070C0"/>
          </w:rPr>
          <w:t>Espacios</w:t>
        </w:r>
        <w:proofErr w:type="spellEnd"/>
        <w:r w:rsidRPr="00213235">
          <w:rPr>
            <w:rStyle w:val="Hyperlink"/>
            <w:color w:val="0070C0"/>
          </w:rPr>
          <w:t xml:space="preserve"> </w:t>
        </w:r>
        <w:proofErr w:type="spellStart"/>
        <w:r w:rsidRPr="00213235">
          <w:rPr>
            <w:rStyle w:val="Hyperlink"/>
            <w:color w:val="0070C0"/>
          </w:rPr>
          <w:t>móviles</w:t>
        </w:r>
        <w:proofErr w:type="spellEnd"/>
        <w:r w:rsidRPr="00213235">
          <w:rPr>
            <w:rStyle w:val="Hyperlink"/>
            <w:color w:val="0070C0"/>
          </w:rPr>
          <w:t xml:space="preserve"> </w:t>
        </w:r>
        <w:proofErr w:type="spellStart"/>
        <w:r w:rsidRPr="00213235">
          <w:rPr>
            <w:rStyle w:val="Hyperlink"/>
            <w:color w:val="0070C0"/>
          </w:rPr>
          <w:t>adaptados</w:t>
        </w:r>
        <w:proofErr w:type="spellEnd"/>
        <w:r w:rsidRPr="00213235">
          <w:rPr>
            <w:rStyle w:val="Hyperlink"/>
            <w:color w:val="0070C0"/>
          </w:rPr>
          <w:t xml:space="preserve"> a </w:t>
        </w:r>
        <w:proofErr w:type="spellStart"/>
        <w:r w:rsidRPr="00213235">
          <w:rPr>
            <w:rStyle w:val="Hyperlink"/>
            <w:color w:val="0070C0"/>
          </w:rPr>
          <w:t>los</w:t>
        </w:r>
        <w:proofErr w:type="spellEnd"/>
        <w:r w:rsidRPr="00213235">
          <w:rPr>
            <w:rStyle w:val="Hyperlink"/>
            <w:color w:val="0070C0"/>
          </w:rPr>
          <w:t xml:space="preserve"> </w:t>
        </w:r>
        <w:proofErr w:type="spellStart"/>
        <w:r w:rsidRPr="00213235">
          <w:rPr>
            <w:rStyle w:val="Hyperlink"/>
            <w:color w:val="0070C0"/>
          </w:rPr>
          <w:t>niños</w:t>
        </w:r>
        <w:proofErr w:type="spellEnd"/>
        <w:r w:rsidRPr="00213235">
          <w:rPr>
            <w:rStyle w:val="Hyperlink"/>
            <w:color w:val="0070C0"/>
          </w:rPr>
          <w:t xml:space="preserve"> que </w:t>
        </w:r>
        <w:proofErr w:type="spellStart"/>
        <w:r w:rsidRPr="00213235">
          <w:rPr>
            <w:rStyle w:val="Hyperlink"/>
            <w:color w:val="0070C0"/>
          </w:rPr>
          <w:t>trabajan</w:t>
        </w:r>
        <w:proofErr w:type="spellEnd"/>
        <w:r w:rsidRPr="00213235">
          <w:rPr>
            <w:rStyle w:val="Hyperlink"/>
            <w:color w:val="0070C0"/>
          </w:rPr>
          <w:t xml:space="preserve"> y a las </w:t>
        </w:r>
        <w:proofErr w:type="spellStart"/>
        <w:r w:rsidRPr="00213235">
          <w:rPr>
            <w:rStyle w:val="Hyperlink"/>
            <w:color w:val="0070C0"/>
          </w:rPr>
          <w:t>niñas</w:t>
        </w:r>
        <w:proofErr w:type="spellEnd"/>
        <w:r w:rsidRPr="00213235">
          <w:rPr>
            <w:rStyle w:val="Hyperlink"/>
            <w:color w:val="0070C0"/>
          </w:rPr>
          <w:t xml:space="preserve"> que </w:t>
        </w:r>
        <w:proofErr w:type="spellStart"/>
        <w:r w:rsidRPr="00213235">
          <w:rPr>
            <w:rStyle w:val="Hyperlink"/>
            <w:color w:val="0070C0"/>
          </w:rPr>
          <w:t>viven</w:t>
        </w:r>
        <w:proofErr w:type="spellEnd"/>
        <w:r w:rsidRPr="00213235">
          <w:rPr>
            <w:rStyle w:val="Hyperlink"/>
            <w:color w:val="0070C0"/>
          </w:rPr>
          <w:t xml:space="preserve"> </w:t>
        </w:r>
        <w:proofErr w:type="spellStart"/>
        <w:r w:rsidRPr="00213235">
          <w:rPr>
            <w:rStyle w:val="Hyperlink"/>
            <w:color w:val="0070C0"/>
          </w:rPr>
          <w:t>en</w:t>
        </w:r>
        <w:proofErr w:type="spellEnd"/>
        <w:r w:rsidRPr="00213235">
          <w:rPr>
            <w:rStyle w:val="Hyperlink"/>
            <w:color w:val="0070C0"/>
          </w:rPr>
          <w:t xml:space="preserve"> casa </w:t>
        </w:r>
        <w:proofErr w:type="spellStart"/>
        <w:r w:rsidRPr="00213235">
          <w:rPr>
            <w:rStyle w:val="Hyperlink"/>
            <w:color w:val="0070C0"/>
          </w:rPr>
          <w:t>en</w:t>
        </w:r>
        <w:proofErr w:type="spellEnd"/>
        <w:r w:rsidRPr="00213235">
          <w:rPr>
            <w:rStyle w:val="Hyperlink"/>
            <w:color w:val="0070C0"/>
          </w:rPr>
          <w:t xml:space="preserve"> Jordania</w:t>
        </w:r>
      </w:hyperlink>
      <w:r w:rsidRPr="00213235">
        <w:rPr>
          <w:color w:val="0070C0"/>
        </w:rPr>
        <w:t xml:space="preserve">, </w:t>
      </w:r>
      <w:r w:rsidRPr="00213235">
        <w:t xml:space="preserve">La </w:t>
      </w:r>
      <w:proofErr w:type="spellStart"/>
      <w:r w:rsidRPr="00213235">
        <w:t>Alianza</w:t>
      </w:r>
      <w:proofErr w:type="spellEnd"/>
      <w:r w:rsidRPr="00213235">
        <w:t xml:space="preserve"> para la </w:t>
      </w:r>
      <w:proofErr w:type="spellStart"/>
      <w:r w:rsidRPr="00213235">
        <w:t>Protección</w:t>
      </w:r>
      <w:proofErr w:type="spellEnd"/>
      <w:r w:rsidRPr="00213235">
        <w:t xml:space="preserve"> de la </w:t>
      </w:r>
      <w:proofErr w:type="spellStart"/>
      <w:r w:rsidRPr="00213235">
        <w:t>Niñez</w:t>
      </w:r>
      <w:proofErr w:type="spellEnd"/>
      <w:r w:rsidRPr="00213235">
        <w:t xml:space="preserve"> </w:t>
      </w:r>
      <w:proofErr w:type="spellStart"/>
      <w:r w:rsidRPr="00213235">
        <w:t>en</w:t>
      </w:r>
      <w:proofErr w:type="spellEnd"/>
      <w:r w:rsidRPr="00213235">
        <w:t xml:space="preserve"> la </w:t>
      </w:r>
      <w:proofErr w:type="spellStart"/>
      <w:r w:rsidRPr="00213235">
        <w:t>Acción</w:t>
      </w:r>
      <w:proofErr w:type="spellEnd"/>
      <w:r w:rsidRPr="00213235">
        <w:t xml:space="preserve"> </w:t>
      </w:r>
      <w:proofErr w:type="spellStart"/>
      <w:r w:rsidRPr="00213235">
        <w:t>Humanitaria</w:t>
      </w:r>
      <w:proofErr w:type="spellEnd"/>
      <w:r w:rsidRPr="00213235">
        <w:t>, 2021</w:t>
      </w:r>
    </w:p>
    <w:p w14:paraId="5BA3943A" w14:textId="77777777" w:rsidR="00213235" w:rsidRPr="00213235" w:rsidRDefault="00213235" w:rsidP="00213235">
      <w:hyperlink r:id="rId14">
        <w:r w:rsidRPr="00213235">
          <w:rPr>
            <w:rStyle w:val="Hyperlink"/>
            <w:color w:val="0070C0"/>
          </w:rPr>
          <w:t xml:space="preserve">Crianza </w:t>
        </w:r>
        <w:proofErr w:type="spellStart"/>
        <w:r w:rsidRPr="00213235">
          <w:rPr>
            <w:rStyle w:val="Hyperlink"/>
            <w:color w:val="0070C0"/>
          </w:rPr>
          <w:t>en</w:t>
        </w:r>
        <w:proofErr w:type="spellEnd"/>
        <w:r w:rsidRPr="00213235">
          <w:rPr>
            <w:rStyle w:val="Hyperlink"/>
            <w:color w:val="0070C0"/>
          </w:rPr>
          <w:t xml:space="preserve"> </w:t>
        </w:r>
        <w:proofErr w:type="spellStart"/>
        <w:r w:rsidRPr="00213235">
          <w:rPr>
            <w:rStyle w:val="Hyperlink"/>
            <w:color w:val="0070C0"/>
          </w:rPr>
          <w:t>Situaciones</w:t>
        </w:r>
        <w:proofErr w:type="spellEnd"/>
        <w:r w:rsidRPr="00213235">
          <w:rPr>
            <w:rStyle w:val="Hyperlink"/>
            <w:color w:val="0070C0"/>
          </w:rPr>
          <w:t xml:space="preserve"> de </w:t>
        </w:r>
        <w:proofErr w:type="spellStart"/>
        <w:r w:rsidRPr="00213235">
          <w:rPr>
            <w:rStyle w:val="Hyperlink"/>
            <w:color w:val="0070C0"/>
          </w:rPr>
          <w:t>Desplazamiento</w:t>
        </w:r>
        <w:proofErr w:type="spellEnd"/>
      </w:hyperlink>
      <w:r w:rsidRPr="00213235">
        <w:rPr>
          <w:color w:val="0070C0"/>
        </w:rPr>
        <w:t xml:space="preserve">, </w:t>
      </w:r>
      <w:r w:rsidRPr="00213235">
        <w:t>IRC, 2017</w:t>
      </w:r>
    </w:p>
    <w:p w14:paraId="2D7A4D1D" w14:textId="77777777" w:rsidR="00213235" w:rsidRPr="00213235" w:rsidRDefault="00213235" w:rsidP="00213235">
      <w:hyperlink r:id="rId15">
        <w:proofErr w:type="spellStart"/>
        <w:r w:rsidRPr="00213235">
          <w:rPr>
            <w:rStyle w:val="Hyperlink"/>
            <w:color w:val="0070C0"/>
          </w:rPr>
          <w:t>Enfoque</w:t>
        </w:r>
        <w:proofErr w:type="spellEnd"/>
        <w:r w:rsidRPr="00213235">
          <w:rPr>
            <w:rStyle w:val="Hyperlink"/>
            <w:color w:val="0070C0"/>
          </w:rPr>
          <w:t xml:space="preserve"> a </w:t>
        </w:r>
        <w:proofErr w:type="spellStart"/>
        <w:r w:rsidRPr="00213235">
          <w:rPr>
            <w:rStyle w:val="Hyperlink"/>
            <w:color w:val="0070C0"/>
          </w:rPr>
          <w:t>nivel</w:t>
        </w:r>
        <w:proofErr w:type="spellEnd"/>
        <w:r w:rsidRPr="00213235">
          <w:rPr>
            <w:rStyle w:val="Hyperlink"/>
            <w:color w:val="0070C0"/>
          </w:rPr>
          <w:t xml:space="preserve"> </w:t>
        </w:r>
        <w:proofErr w:type="spellStart"/>
        <w:r w:rsidRPr="00213235">
          <w:rPr>
            <w:rStyle w:val="Hyperlink"/>
            <w:color w:val="0070C0"/>
          </w:rPr>
          <w:t>comunitario</w:t>
        </w:r>
        <w:proofErr w:type="spellEnd"/>
        <w:r w:rsidRPr="00213235">
          <w:rPr>
            <w:rStyle w:val="Hyperlink"/>
            <w:color w:val="0070C0"/>
          </w:rPr>
          <w:t xml:space="preserve">, </w:t>
        </w:r>
        <w:proofErr w:type="spellStart"/>
        <w:r w:rsidRPr="00213235">
          <w:rPr>
            <w:rStyle w:val="Hyperlink"/>
            <w:color w:val="0070C0"/>
          </w:rPr>
          <w:t>Enfoque</w:t>
        </w:r>
        <w:proofErr w:type="spellEnd"/>
        <w:r w:rsidRPr="00213235">
          <w:rPr>
            <w:rStyle w:val="Hyperlink"/>
            <w:color w:val="0070C0"/>
          </w:rPr>
          <w:t xml:space="preserve"> a </w:t>
        </w:r>
        <w:proofErr w:type="spellStart"/>
        <w:r w:rsidRPr="00213235">
          <w:rPr>
            <w:rStyle w:val="Hyperlink"/>
            <w:color w:val="0070C0"/>
          </w:rPr>
          <w:t>nivel</w:t>
        </w:r>
        <w:proofErr w:type="spellEnd"/>
        <w:r w:rsidRPr="00213235">
          <w:rPr>
            <w:rStyle w:val="Hyperlink"/>
            <w:color w:val="0070C0"/>
          </w:rPr>
          <w:t xml:space="preserve"> </w:t>
        </w:r>
        <w:proofErr w:type="spellStart"/>
        <w:r w:rsidRPr="00213235">
          <w:rPr>
            <w:rStyle w:val="Hyperlink"/>
            <w:color w:val="0070C0"/>
          </w:rPr>
          <w:t>comunitario</w:t>
        </w:r>
        <w:proofErr w:type="spellEnd"/>
        <w:r w:rsidRPr="00213235">
          <w:rPr>
            <w:rStyle w:val="Hyperlink"/>
            <w:color w:val="0070C0"/>
          </w:rPr>
          <w:t xml:space="preserve">: Una </w:t>
        </w:r>
        <w:proofErr w:type="spellStart"/>
        <w:r w:rsidRPr="00213235">
          <w:rPr>
            <w:rStyle w:val="Hyperlink"/>
            <w:color w:val="0070C0"/>
          </w:rPr>
          <w:t>guía</w:t>
        </w:r>
        <w:proofErr w:type="spellEnd"/>
        <w:r w:rsidRPr="00213235">
          <w:rPr>
            <w:rStyle w:val="Hyperlink"/>
            <w:color w:val="0070C0"/>
          </w:rPr>
          <w:t xml:space="preserve"> de campo </w:t>
        </w:r>
        <w:proofErr w:type="spellStart"/>
        <w:r w:rsidRPr="00213235">
          <w:rPr>
            <w:rStyle w:val="Hyperlink"/>
            <w:color w:val="0070C0"/>
          </w:rPr>
          <w:t>reflexiva</w:t>
        </w:r>
        <w:proofErr w:type="spellEnd"/>
      </w:hyperlink>
      <w:r w:rsidRPr="00213235">
        <w:rPr>
          <w:color w:val="0070C0"/>
        </w:rPr>
        <w:t xml:space="preserve">, </w:t>
      </w:r>
      <w:r w:rsidRPr="00213235">
        <w:t xml:space="preserve">La </w:t>
      </w:r>
      <w:proofErr w:type="spellStart"/>
      <w:r w:rsidRPr="00213235">
        <w:t>Alianza</w:t>
      </w:r>
      <w:proofErr w:type="spellEnd"/>
      <w:r w:rsidRPr="00213235">
        <w:t xml:space="preserve"> para la </w:t>
      </w:r>
      <w:proofErr w:type="spellStart"/>
      <w:r w:rsidRPr="00213235">
        <w:t>Protección</w:t>
      </w:r>
      <w:proofErr w:type="spellEnd"/>
      <w:r w:rsidRPr="00213235">
        <w:t xml:space="preserve"> de la </w:t>
      </w:r>
      <w:proofErr w:type="spellStart"/>
      <w:r w:rsidRPr="00213235">
        <w:t>Niñez</w:t>
      </w:r>
      <w:proofErr w:type="spellEnd"/>
      <w:r w:rsidRPr="00213235">
        <w:t xml:space="preserve"> </w:t>
      </w:r>
      <w:proofErr w:type="spellStart"/>
      <w:r w:rsidRPr="00213235">
        <w:t>en</w:t>
      </w:r>
      <w:proofErr w:type="spellEnd"/>
      <w:r w:rsidRPr="00213235">
        <w:t xml:space="preserve"> la </w:t>
      </w:r>
      <w:proofErr w:type="spellStart"/>
      <w:r w:rsidRPr="00213235">
        <w:t>Acción</w:t>
      </w:r>
      <w:proofErr w:type="spellEnd"/>
      <w:r w:rsidRPr="00213235">
        <w:t xml:space="preserve"> </w:t>
      </w:r>
      <w:proofErr w:type="spellStart"/>
      <w:r w:rsidRPr="00213235">
        <w:t>Humanitaria</w:t>
      </w:r>
      <w:proofErr w:type="spellEnd"/>
      <w:r w:rsidRPr="00213235">
        <w:t>, 2020</w:t>
      </w:r>
    </w:p>
    <w:p w14:paraId="47ED156C" w14:textId="77777777" w:rsidR="00213235" w:rsidRPr="00213235" w:rsidRDefault="00213235" w:rsidP="00213235">
      <w:hyperlink r:id="rId16">
        <w:r w:rsidRPr="00213235">
          <w:rPr>
            <w:rStyle w:val="Hyperlink"/>
            <w:color w:val="0070C0"/>
          </w:rPr>
          <w:t xml:space="preserve">Directrices </w:t>
        </w:r>
        <w:proofErr w:type="spellStart"/>
        <w:r w:rsidRPr="00213235">
          <w:rPr>
            <w:rStyle w:val="Hyperlink"/>
            <w:color w:val="0070C0"/>
          </w:rPr>
          <w:t>Interinstitucionales</w:t>
        </w:r>
        <w:proofErr w:type="spellEnd"/>
        <w:r w:rsidRPr="00213235">
          <w:rPr>
            <w:rStyle w:val="Hyperlink"/>
            <w:color w:val="0070C0"/>
          </w:rPr>
          <w:t xml:space="preserve"> para la </w:t>
        </w:r>
        <w:proofErr w:type="spellStart"/>
        <w:r w:rsidRPr="00213235">
          <w:rPr>
            <w:rStyle w:val="Hyperlink"/>
            <w:color w:val="0070C0"/>
          </w:rPr>
          <w:t>Gestión</w:t>
        </w:r>
        <w:proofErr w:type="spellEnd"/>
        <w:r w:rsidRPr="00213235">
          <w:rPr>
            <w:rStyle w:val="Hyperlink"/>
            <w:color w:val="0070C0"/>
          </w:rPr>
          <w:t xml:space="preserve"> de Casos y la </w:t>
        </w:r>
        <w:proofErr w:type="spellStart"/>
        <w:r w:rsidRPr="00213235">
          <w:rPr>
            <w:rStyle w:val="Hyperlink"/>
            <w:color w:val="0070C0"/>
          </w:rPr>
          <w:t>Protección</w:t>
        </w:r>
        <w:proofErr w:type="spellEnd"/>
        <w:r w:rsidRPr="00213235">
          <w:rPr>
            <w:rStyle w:val="Hyperlink"/>
            <w:color w:val="0070C0"/>
          </w:rPr>
          <w:t xml:space="preserve"> de la </w:t>
        </w:r>
        <w:proofErr w:type="spellStart"/>
        <w:r w:rsidRPr="00213235">
          <w:rPr>
            <w:rStyle w:val="Hyperlink"/>
            <w:color w:val="0070C0"/>
          </w:rPr>
          <w:t>Niñez</w:t>
        </w:r>
        <w:proofErr w:type="spellEnd"/>
        <w:r w:rsidRPr="00213235">
          <w:rPr>
            <w:rStyle w:val="Hyperlink"/>
            <w:color w:val="0070C0"/>
          </w:rPr>
          <w:t xml:space="preserve"> y </w:t>
        </w:r>
        <w:proofErr w:type="spellStart"/>
        <w:r w:rsidRPr="00213235">
          <w:rPr>
            <w:rStyle w:val="Hyperlink"/>
            <w:color w:val="0070C0"/>
          </w:rPr>
          <w:t>Adolescencia</w:t>
        </w:r>
        <w:proofErr w:type="spellEnd"/>
      </w:hyperlink>
      <w:r w:rsidRPr="00213235">
        <w:rPr>
          <w:color w:val="0070C0"/>
        </w:rPr>
        <w:t xml:space="preserve">, </w:t>
      </w:r>
      <w:r w:rsidRPr="00213235">
        <w:t xml:space="preserve">Grupo de </w:t>
      </w:r>
      <w:proofErr w:type="spellStart"/>
      <w:r w:rsidRPr="00213235">
        <w:t>Trabajo</w:t>
      </w:r>
      <w:proofErr w:type="spellEnd"/>
      <w:r w:rsidRPr="00213235">
        <w:t xml:space="preserve"> </w:t>
      </w:r>
      <w:proofErr w:type="spellStart"/>
      <w:r w:rsidRPr="00213235">
        <w:t>sobre</w:t>
      </w:r>
      <w:proofErr w:type="spellEnd"/>
      <w:r w:rsidRPr="00213235">
        <w:t xml:space="preserve"> </w:t>
      </w:r>
      <w:proofErr w:type="spellStart"/>
      <w:r w:rsidRPr="00213235">
        <w:t>Protección</w:t>
      </w:r>
      <w:proofErr w:type="spellEnd"/>
      <w:r w:rsidRPr="00213235">
        <w:t xml:space="preserve"> de la </w:t>
      </w:r>
      <w:proofErr w:type="spellStart"/>
      <w:r w:rsidRPr="00213235">
        <w:t>Niñez</w:t>
      </w:r>
      <w:proofErr w:type="spellEnd"/>
      <w:r w:rsidRPr="00213235">
        <w:t xml:space="preserve"> y </w:t>
      </w:r>
      <w:proofErr w:type="spellStart"/>
      <w:r w:rsidRPr="00213235">
        <w:t>Adolescencia</w:t>
      </w:r>
      <w:proofErr w:type="spellEnd"/>
      <w:r w:rsidRPr="00213235">
        <w:t>, 2014</w:t>
      </w:r>
    </w:p>
    <w:p w14:paraId="6D5B9970" w14:textId="77777777" w:rsidR="00213235" w:rsidRPr="00213235" w:rsidRDefault="00213235" w:rsidP="00213235">
      <w:hyperlink r:id="rId17">
        <w:r w:rsidRPr="00213235">
          <w:rPr>
            <w:rStyle w:val="Hyperlink"/>
            <w:color w:val="0070C0"/>
          </w:rPr>
          <w:t xml:space="preserve">Informe </w:t>
        </w:r>
        <w:proofErr w:type="spellStart"/>
        <w:r w:rsidRPr="00213235">
          <w:rPr>
            <w:rStyle w:val="Hyperlink"/>
            <w:color w:val="0070C0"/>
          </w:rPr>
          <w:t>sobre</w:t>
        </w:r>
        <w:proofErr w:type="spellEnd"/>
        <w:r w:rsidRPr="00213235">
          <w:rPr>
            <w:rStyle w:val="Hyperlink"/>
            <w:color w:val="0070C0"/>
          </w:rPr>
          <w:t xml:space="preserve"> las </w:t>
        </w:r>
        <w:proofErr w:type="spellStart"/>
        <w:r w:rsidRPr="00213235">
          <w:rPr>
            <w:rStyle w:val="Hyperlink"/>
            <w:color w:val="0070C0"/>
          </w:rPr>
          <w:t>Modalidades</w:t>
        </w:r>
        <w:proofErr w:type="spellEnd"/>
        <w:r w:rsidRPr="00213235">
          <w:rPr>
            <w:rStyle w:val="Hyperlink"/>
            <w:color w:val="0070C0"/>
          </w:rPr>
          <w:t xml:space="preserve"> </w:t>
        </w:r>
        <w:proofErr w:type="spellStart"/>
        <w:r w:rsidRPr="00213235">
          <w:rPr>
            <w:rStyle w:val="Hyperlink"/>
            <w:color w:val="0070C0"/>
          </w:rPr>
          <w:t>Alternativas</w:t>
        </w:r>
        <w:proofErr w:type="spellEnd"/>
        <w:r w:rsidRPr="00213235">
          <w:rPr>
            <w:rStyle w:val="Hyperlink"/>
            <w:color w:val="0070C0"/>
          </w:rPr>
          <w:t xml:space="preserve"> de </w:t>
        </w:r>
        <w:proofErr w:type="spellStart"/>
        <w:r w:rsidRPr="00213235">
          <w:rPr>
            <w:rStyle w:val="Hyperlink"/>
            <w:color w:val="0070C0"/>
          </w:rPr>
          <w:t>Cuidado</w:t>
        </w:r>
        <w:proofErr w:type="spellEnd"/>
        <w:r w:rsidRPr="00213235">
          <w:rPr>
            <w:rStyle w:val="Hyperlink"/>
            <w:color w:val="0070C0"/>
          </w:rPr>
          <w:t xml:space="preserve"> de </w:t>
        </w:r>
        <w:proofErr w:type="spellStart"/>
        <w:r w:rsidRPr="00213235">
          <w:rPr>
            <w:rStyle w:val="Hyperlink"/>
            <w:color w:val="0070C0"/>
          </w:rPr>
          <w:t>los</w:t>
        </w:r>
        <w:proofErr w:type="spellEnd"/>
        <w:r w:rsidRPr="00213235">
          <w:rPr>
            <w:rStyle w:val="Hyperlink"/>
            <w:color w:val="0070C0"/>
          </w:rPr>
          <w:t xml:space="preserve"> </w:t>
        </w:r>
        <w:proofErr w:type="spellStart"/>
        <w:r w:rsidRPr="00213235">
          <w:rPr>
            <w:rStyle w:val="Hyperlink"/>
            <w:color w:val="0070C0"/>
          </w:rPr>
          <w:t>Niños</w:t>
        </w:r>
        <w:proofErr w:type="spellEnd"/>
        <w:r w:rsidRPr="00213235">
          <w:rPr>
            <w:rStyle w:val="Hyperlink"/>
            <w:color w:val="0070C0"/>
          </w:rPr>
          <w:t xml:space="preserve"> No </w:t>
        </w:r>
        <w:proofErr w:type="spellStart"/>
        <w:r w:rsidRPr="00213235">
          <w:rPr>
            <w:rStyle w:val="Hyperlink"/>
            <w:color w:val="0070C0"/>
          </w:rPr>
          <w:t>Acompañados</w:t>
        </w:r>
        <w:proofErr w:type="spellEnd"/>
        <w:r w:rsidRPr="00213235">
          <w:rPr>
            <w:rStyle w:val="Hyperlink"/>
            <w:color w:val="0070C0"/>
          </w:rPr>
          <w:t xml:space="preserve"> y </w:t>
        </w:r>
        <w:proofErr w:type="spellStart"/>
        <w:r w:rsidRPr="00213235">
          <w:rPr>
            <w:rStyle w:val="Hyperlink"/>
            <w:color w:val="0070C0"/>
          </w:rPr>
          <w:t>Separados</w:t>
        </w:r>
        <w:proofErr w:type="spellEnd"/>
        <w:r w:rsidRPr="00213235">
          <w:rPr>
            <w:rStyle w:val="Hyperlink"/>
            <w:color w:val="0070C0"/>
          </w:rPr>
          <w:t xml:space="preserve"> </w:t>
        </w:r>
        <w:proofErr w:type="spellStart"/>
        <w:r w:rsidRPr="00213235">
          <w:rPr>
            <w:rStyle w:val="Hyperlink"/>
            <w:color w:val="0070C0"/>
          </w:rPr>
          <w:t>en</w:t>
        </w:r>
        <w:proofErr w:type="spellEnd"/>
        <w:r w:rsidRPr="00213235">
          <w:rPr>
            <w:rStyle w:val="Hyperlink"/>
            <w:color w:val="0070C0"/>
          </w:rPr>
          <w:t xml:space="preserve"> </w:t>
        </w:r>
        <w:proofErr w:type="spellStart"/>
        <w:r w:rsidRPr="00213235">
          <w:rPr>
            <w:rStyle w:val="Hyperlink"/>
            <w:color w:val="0070C0"/>
          </w:rPr>
          <w:t>Contexto</w:t>
        </w:r>
        <w:proofErr w:type="spellEnd"/>
        <w:r w:rsidRPr="00213235">
          <w:rPr>
            <w:rStyle w:val="Hyperlink"/>
            <w:color w:val="0070C0"/>
          </w:rPr>
          <w:t xml:space="preserve"> </w:t>
        </w:r>
        <w:proofErr w:type="spellStart"/>
        <w:r w:rsidRPr="00213235">
          <w:rPr>
            <w:rStyle w:val="Hyperlink"/>
            <w:color w:val="0070C0"/>
          </w:rPr>
          <w:t>Humanitario</w:t>
        </w:r>
        <w:proofErr w:type="spellEnd"/>
        <w:r w:rsidRPr="00213235">
          <w:rPr>
            <w:rStyle w:val="Hyperlink"/>
            <w:color w:val="0070C0"/>
          </w:rPr>
          <w:t xml:space="preserve"> </w:t>
        </w:r>
        <w:proofErr w:type="spellStart"/>
        <w:r w:rsidRPr="00213235">
          <w:rPr>
            <w:rStyle w:val="Hyperlink"/>
            <w:color w:val="0070C0"/>
          </w:rPr>
          <w:t>en</w:t>
        </w:r>
        <w:proofErr w:type="spellEnd"/>
        <w:r w:rsidRPr="00213235">
          <w:rPr>
            <w:rStyle w:val="Hyperlink"/>
            <w:color w:val="0070C0"/>
          </w:rPr>
          <w:t xml:space="preserve"> Uganda</w:t>
        </w:r>
      </w:hyperlink>
      <w:r w:rsidRPr="00213235">
        <w:rPr>
          <w:color w:val="0070C0"/>
        </w:rPr>
        <w:t xml:space="preserve">, </w:t>
      </w:r>
      <w:proofErr w:type="spellStart"/>
      <w:r w:rsidRPr="00213235">
        <w:t>Subgrupo</w:t>
      </w:r>
      <w:proofErr w:type="spellEnd"/>
      <w:r w:rsidRPr="00213235">
        <w:t xml:space="preserve"> de </w:t>
      </w:r>
      <w:proofErr w:type="spellStart"/>
      <w:r w:rsidRPr="00213235">
        <w:t>Trabajo</w:t>
      </w:r>
      <w:proofErr w:type="spellEnd"/>
      <w:r w:rsidRPr="00213235">
        <w:t xml:space="preserve"> </w:t>
      </w:r>
      <w:proofErr w:type="spellStart"/>
      <w:r w:rsidRPr="00213235">
        <w:t>sobre</w:t>
      </w:r>
      <w:proofErr w:type="spellEnd"/>
      <w:r w:rsidRPr="00213235">
        <w:t xml:space="preserve"> </w:t>
      </w:r>
      <w:proofErr w:type="spellStart"/>
      <w:r w:rsidRPr="00213235">
        <w:t>Protección</w:t>
      </w:r>
      <w:proofErr w:type="spellEnd"/>
      <w:r w:rsidRPr="00213235">
        <w:t xml:space="preserve"> de la </w:t>
      </w:r>
      <w:proofErr w:type="spellStart"/>
      <w:r w:rsidRPr="00213235">
        <w:t>Niñez</w:t>
      </w:r>
      <w:proofErr w:type="spellEnd"/>
      <w:r w:rsidRPr="00213235">
        <w:t xml:space="preserve"> y </w:t>
      </w:r>
      <w:proofErr w:type="spellStart"/>
      <w:r w:rsidRPr="00213235">
        <w:t>Adolescencia</w:t>
      </w:r>
      <w:proofErr w:type="spellEnd"/>
      <w:r w:rsidRPr="00213235">
        <w:t xml:space="preserve"> de Uganda, 2018</w:t>
      </w:r>
    </w:p>
    <w:p w14:paraId="6E1A4948" w14:textId="77777777" w:rsidR="00213235" w:rsidRPr="00213235" w:rsidRDefault="00213235" w:rsidP="00213235">
      <w:hyperlink r:id="rId18">
        <w:proofErr w:type="spellStart"/>
        <w:r w:rsidRPr="00213235">
          <w:rPr>
            <w:rStyle w:val="Hyperlink"/>
            <w:color w:val="0070C0"/>
          </w:rPr>
          <w:t>Acceso</w:t>
        </w:r>
        <w:proofErr w:type="spellEnd"/>
        <w:r w:rsidRPr="00213235">
          <w:rPr>
            <w:rStyle w:val="Hyperlink"/>
            <w:color w:val="0070C0"/>
          </w:rPr>
          <w:t xml:space="preserve"> de </w:t>
        </w:r>
        <w:proofErr w:type="spellStart"/>
        <w:r w:rsidRPr="00213235">
          <w:rPr>
            <w:rStyle w:val="Hyperlink"/>
            <w:color w:val="0070C0"/>
          </w:rPr>
          <w:t>los</w:t>
        </w:r>
        <w:proofErr w:type="spellEnd"/>
        <w:r w:rsidRPr="00213235">
          <w:rPr>
            <w:rStyle w:val="Hyperlink"/>
            <w:color w:val="0070C0"/>
          </w:rPr>
          <w:t xml:space="preserve"> </w:t>
        </w:r>
        <w:proofErr w:type="spellStart"/>
        <w:r w:rsidRPr="00213235">
          <w:rPr>
            <w:rStyle w:val="Hyperlink"/>
            <w:color w:val="0070C0"/>
          </w:rPr>
          <w:t>niños</w:t>
        </w:r>
        <w:proofErr w:type="spellEnd"/>
        <w:r w:rsidRPr="00213235">
          <w:rPr>
            <w:rStyle w:val="Hyperlink"/>
            <w:color w:val="0070C0"/>
          </w:rPr>
          <w:t xml:space="preserve">, las </w:t>
        </w:r>
        <w:proofErr w:type="spellStart"/>
        <w:r w:rsidRPr="00213235">
          <w:rPr>
            <w:rStyle w:val="Hyperlink"/>
            <w:color w:val="0070C0"/>
          </w:rPr>
          <w:t>niñas</w:t>
        </w:r>
        <w:proofErr w:type="spellEnd"/>
        <w:r w:rsidRPr="00213235">
          <w:rPr>
            <w:rStyle w:val="Hyperlink"/>
            <w:color w:val="0070C0"/>
          </w:rPr>
          <w:t xml:space="preserve"> y </w:t>
        </w:r>
        <w:proofErr w:type="spellStart"/>
        <w:r w:rsidRPr="00213235">
          <w:rPr>
            <w:rStyle w:val="Hyperlink"/>
            <w:color w:val="0070C0"/>
          </w:rPr>
          <w:t>adolescentes</w:t>
        </w:r>
        <w:proofErr w:type="spellEnd"/>
        <w:r w:rsidRPr="00213235">
          <w:rPr>
            <w:rStyle w:val="Hyperlink"/>
            <w:color w:val="0070C0"/>
          </w:rPr>
          <w:t xml:space="preserve"> a la </w:t>
        </w:r>
        <w:proofErr w:type="spellStart"/>
        <w:r w:rsidRPr="00213235">
          <w:rPr>
            <w:rStyle w:val="Hyperlink"/>
            <w:color w:val="0070C0"/>
          </w:rPr>
          <w:t>justicia</w:t>
        </w:r>
        <w:proofErr w:type="spellEnd"/>
        <w:r w:rsidRPr="00213235">
          <w:rPr>
            <w:rStyle w:val="Hyperlink"/>
            <w:color w:val="0070C0"/>
          </w:rPr>
          <w:t xml:space="preserve"> </w:t>
        </w:r>
        <w:proofErr w:type="spellStart"/>
        <w:r w:rsidRPr="00213235">
          <w:rPr>
            <w:rStyle w:val="Hyperlink"/>
            <w:color w:val="0070C0"/>
          </w:rPr>
          <w:t>en</w:t>
        </w:r>
        <w:proofErr w:type="spellEnd"/>
        <w:r w:rsidRPr="00213235">
          <w:rPr>
            <w:rStyle w:val="Hyperlink"/>
            <w:color w:val="0070C0"/>
          </w:rPr>
          <w:t xml:space="preserve"> la era de COVID-19: </w:t>
        </w:r>
        <w:proofErr w:type="spellStart"/>
        <w:r w:rsidRPr="00213235">
          <w:rPr>
            <w:rStyle w:val="Hyperlink"/>
            <w:color w:val="0070C0"/>
          </w:rPr>
          <w:t>Notas</w:t>
        </w:r>
        <w:proofErr w:type="spellEnd"/>
        <w:r w:rsidRPr="00213235">
          <w:rPr>
            <w:rStyle w:val="Hyperlink"/>
            <w:color w:val="0070C0"/>
          </w:rPr>
          <w:t xml:space="preserve"> </w:t>
        </w:r>
        <w:proofErr w:type="spellStart"/>
        <w:r w:rsidRPr="00213235">
          <w:rPr>
            <w:rStyle w:val="Hyperlink"/>
            <w:color w:val="0070C0"/>
          </w:rPr>
          <w:t>desde</w:t>
        </w:r>
        <w:proofErr w:type="spellEnd"/>
        <w:r w:rsidRPr="00213235">
          <w:rPr>
            <w:rStyle w:val="Hyperlink"/>
            <w:color w:val="0070C0"/>
          </w:rPr>
          <w:t xml:space="preserve"> </w:t>
        </w:r>
        <w:proofErr w:type="spellStart"/>
        <w:r w:rsidRPr="00213235">
          <w:rPr>
            <w:rStyle w:val="Hyperlink"/>
            <w:color w:val="0070C0"/>
          </w:rPr>
          <w:t>el</w:t>
        </w:r>
        <w:proofErr w:type="spellEnd"/>
        <w:r w:rsidRPr="00213235">
          <w:rPr>
            <w:rStyle w:val="Hyperlink"/>
            <w:color w:val="0070C0"/>
          </w:rPr>
          <w:t xml:space="preserve"> Campo</w:t>
        </w:r>
      </w:hyperlink>
      <w:r w:rsidRPr="00213235">
        <w:t>, UNICEF, 2020</w:t>
      </w:r>
    </w:p>
    <w:p w14:paraId="4B1BD33D" w14:textId="49B6D50B" w:rsidR="00D556FE" w:rsidRPr="00895456" w:rsidRDefault="00D556FE" w:rsidP="00213235">
      <w:pPr>
        <w:spacing w:before="240" w:after="240" w:line="240" w:lineRule="auto"/>
        <w:rPr>
          <w:rFonts w:ascii="Arial" w:hAnsi="Arial" w:cs="Arial"/>
          <w:sz w:val="20"/>
          <w:szCs w:val="20"/>
        </w:rPr>
      </w:pPr>
    </w:p>
    <w:sectPr w:rsidR="00D556FE" w:rsidRPr="00895456" w:rsidSect="00CA47E8">
      <w:headerReference w:type="default" r:id="rId19"/>
      <w:footerReference w:type="even" r:id="rId20"/>
      <w:footerReference w:type="default" r:id="rId2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37ACA" w14:textId="77777777" w:rsidR="00616F16" w:rsidRDefault="00616F16" w:rsidP="000829BE">
      <w:r>
        <w:separator/>
      </w:r>
    </w:p>
  </w:endnote>
  <w:endnote w:type="continuationSeparator" w:id="0">
    <w:p w14:paraId="235BF336" w14:textId="77777777" w:rsidR="00616F16" w:rsidRDefault="00616F16" w:rsidP="0008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0829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8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829B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86A79" w14:textId="77777777" w:rsidR="00616F16" w:rsidRDefault="00616F16" w:rsidP="000829BE">
      <w:r>
        <w:separator/>
      </w:r>
    </w:p>
  </w:footnote>
  <w:footnote w:type="continuationSeparator" w:id="0">
    <w:p w14:paraId="3647B82A" w14:textId="77777777" w:rsidR="00616F16" w:rsidRDefault="00616F16" w:rsidP="0008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829BE">
    <w:pPr>
      <w:pStyle w:val="Header"/>
    </w:pPr>
    <w:r>
      <w:rPr>
        <w:noProof/>
      </w:rPr>
      <w:drawing>
        <wp:anchor distT="0" distB="0" distL="114300" distR="114300" simplePos="0" relativeHeight="251662336" behindDoc="0" locked="0" layoutInCell="1" allowOverlap="1" wp14:anchorId="4DDB4EB9" wp14:editId="0DBBC393">
          <wp:simplePos x="0" y="0"/>
          <wp:positionH relativeFrom="margin">
            <wp:posOffset>7094667</wp:posOffset>
          </wp:positionH>
          <wp:positionV relativeFrom="paragraph">
            <wp:posOffset>-285750</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6" w15:restartNumberingAfterBreak="0">
    <w:nsid w:val="601C5A91"/>
    <w:multiLevelType w:val="multilevel"/>
    <w:tmpl w:val="5554F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0D6171"/>
    <w:multiLevelType w:val="multilevel"/>
    <w:tmpl w:val="143CA8F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4"/>
  </w:num>
  <w:num w:numId="8" w16cid:durableId="209920770">
    <w:abstractNumId w:val="7"/>
  </w:num>
  <w:num w:numId="9" w16cid:durableId="1488205232">
    <w:abstractNumId w:val="9"/>
  </w:num>
  <w:num w:numId="10" w16cid:durableId="1967618515">
    <w:abstractNumId w:val="17"/>
  </w:num>
  <w:num w:numId="11" w16cid:durableId="1737974695">
    <w:abstractNumId w:val="10"/>
  </w:num>
  <w:num w:numId="12" w16cid:durableId="778765163">
    <w:abstractNumId w:val="13"/>
  </w:num>
  <w:num w:numId="13" w16cid:durableId="1449592286">
    <w:abstractNumId w:val="6"/>
  </w:num>
  <w:num w:numId="14" w16cid:durableId="603268405">
    <w:abstractNumId w:val="11"/>
  </w:num>
  <w:num w:numId="15" w16cid:durableId="2137290702">
    <w:abstractNumId w:val="15"/>
  </w:num>
  <w:num w:numId="16" w16cid:durableId="265190426">
    <w:abstractNumId w:val="12"/>
  </w:num>
  <w:num w:numId="17" w16cid:durableId="1801337311">
    <w:abstractNumId w:val="8"/>
  </w:num>
  <w:num w:numId="18" w16cid:durableId="1376390430">
    <w:abstractNumId w:val="16"/>
  </w:num>
  <w:num w:numId="19" w16cid:durableId="78284510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57F1"/>
    <w:rsid w:val="000256A3"/>
    <w:rsid w:val="00025BEE"/>
    <w:rsid w:val="00025C47"/>
    <w:rsid w:val="0003222E"/>
    <w:rsid w:val="00037DF8"/>
    <w:rsid w:val="0004041A"/>
    <w:rsid w:val="00042EFD"/>
    <w:rsid w:val="00043DF4"/>
    <w:rsid w:val="00054CCF"/>
    <w:rsid w:val="000551C1"/>
    <w:rsid w:val="00066E4E"/>
    <w:rsid w:val="00070047"/>
    <w:rsid w:val="00071860"/>
    <w:rsid w:val="000815D8"/>
    <w:rsid w:val="00082945"/>
    <w:rsid w:val="000829BE"/>
    <w:rsid w:val="00085260"/>
    <w:rsid w:val="000856F0"/>
    <w:rsid w:val="00096A42"/>
    <w:rsid w:val="000A6D48"/>
    <w:rsid w:val="000B3112"/>
    <w:rsid w:val="000C40FD"/>
    <w:rsid w:val="000C544D"/>
    <w:rsid w:val="000D2C9A"/>
    <w:rsid w:val="000E2D08"/>
    <w:rsid w:val="000E567A"/>
    <w:rsid w:val="000F7D38"/>
    <w:rsid w:val="00100672"/>
    <w:rsid w:val="00100884"/>
    <w:rsid w:val="001019C1"/>
    <w:rsid w:val="001020F3"/>
    <w:rsid w:val="00102C0A"/>
    <w:rsid w:val="001056DF"/>
    <w:rsid w:val="00111353"/>
    <w:rsid w:val="00114F49"/>
    <w:rsid w:val="001162ED"/>
    <w:rsid w:val="0011712B"/>
    <w:rsid w:val="0011763C"/>
    <w:rsid w:val="00120045"/>
    <w:rsid w:val="00121CD4"/>
    <w:rsid w:val="00122885"/>
    <w:rsid w:val="00123469"/>
    <w:rsid w:val="00126022"/>
    <w:rsid w:val="001262E9"/>
    <w:rsid w:val="001445E2"/>
    <w:rsid w:val="00151C57"/>
    <w:rsid w:val="00165BDB"/>
    <w:rsid w:val="00167184"/>
    <w:rsid w:val="00167E70"/>
    <w:rsid w:val="00171CFC"/>
    <w:rsid w:val="0017581E"/>
    <w:rsid w:val="001822CD"/>
    <w:rsid w:val="001949B4"/>
    <w:rsid w:val="00195A6F"/>
    <w:rsid w:val="001A4E51"/>
    <w:rsid w:val="001A5B2E"/>
    <w:rsid w:val="001B459E"/>
    <w:rsid w:val="001C787A"/>
    <w:rsid w:val="001D2890"/>
    <w:rsid w:val="001D3BF0"/>
    <w:rsid w:val="001E0E49"/>
    <w:rsid w:val="001E128B"/>
    <w:rsid w:val="001E1507"/>
    <w:rsid w:val="001E7894"/>
    <w:rsid w:val="001F12EA"/>
    <w:rsid w:val="001F3115"/>
    <w:rsid w:val="00200147"/>
    <w:rsid w:val="00200E93"/>
    <w:rsid w:val="00213235"/>
    <w:rsid w:val="00221051"/>
    <w:rsid w:val="00222921"/>
    <w:rsid w:val="0022703F"/>
    <w:rsid w:val="00227177"/>
    <w:rsid w:val="00232D1A"/>
    <w:rsid w:val="0024593E"/>
    <w:rsid w:val="00261C71"/>
    <w:rsid w:val="00264B8C"/>
    <w:rsid w:val="00270A09"/>
    <w:rsid w:val="00272067"/>
    <w:rsid w:val="00272DB4"/>
    <w:rsid w:val="00274746"/>
    <w:rsid w:val="00283FC8"/>
    <w:rsid w:val="002A26BD"/>
    <w:rsid w:val="002A4B73"/>
    <w:rsid w:val="002B0B75"/>
    <w:rsid w:val="002B2FB0"/>
    <w:rsid w:val="002B32F2"/>
    <w:rsid w:val="002B4588"/>
    <w:rsid w:val="002B7BB4"/>
    <w:rsid w:val="002C0708"/>
    <w:rsid w:val="002C16F2"/>
    <w:rsid w:val="002C43F3"/>
    <w:rsid w:val="002C44D5"/>
    <w:rsid w:val="002C55BC"/>
    <w:rsid w:val="002D3C89"/>
    <w:rsid w:val="002D5BA9"/>
    <w:rsid w:val="002E3096"/>
    <w:rsid w:val="002F31F0"/>
    <w:rsid w:val="00306D58"/>
    <w:rsid w:val="0031183C"/>
    <w:rsid w:val="0031555B"/>
    <w:rsid w:val="00322BDC"/>
    <w:rsid w:val="00332C25"/>
    <w:rsid w:val="0033320B"/>
    <w:rsid w:val="00335E68"/>
    <w:rsid w:val="00336EDF"/>
    <w:rsid w:val="003371AB"/>
    <w:rsid w:val="003452B8"/>
    <w:rsid w:val="003502BC"/>
    <w:rsid w:val="0035251E"/>
    <w:rsid w:val="0035522E"/>
    <w:rsid w:val="00361A4C"/>
    <w:rsid w:val="00362AFF"/>
    <w:rsid w:val="003742FA"/>
    <w:rsid w:val="00374FA8"/>
    <w:rsid w:val="00375BF5"/>
    <w:rsid w:val="0038071B"/>
    <w:rsid w:val="00380AD6"/>
    <w:rsid w:val="00383E42"/>
    <w:rsid w:val="0038590D"/>
    <w:rsid w:val="00390ECC"/>
    <w:rsid w:val="003954E3"/>
    <w:rsid w:val="00395B8B"/>
    <w:rsid w:val="003A729C"/>
    <w:rsid w:val="003B184F"/>
    <w:rsid w:val="003B2E76"/>
    <w:rsid w:val="003B7E62"/>
    <w:rsid w:val="003C57B2"/>
    <w:rsid w:val="003C637E"/>
    <w:rsid w:val="003C7AFF"/>
    <w:rsid w:val="003D0BF0"/>
    <w:rsid w:val="003D1A61"/>
    <w:rsid w:val="003D684C"/>
    <w:rsid w:val="003E0223"/>
    <w:rsid w:val="003E0E4D"/>
    <w:rsid w:val="003E3C90"/>
    <w:rsid w:val="003F18FE"/>
    <w:rsid w:val="003F7E98"/>
    <w:rsid w:val="00404A60"/>
    <w:rsid w:val="00405880"/>
    <w:rsid w:val="0041017E"/>
    <w:rsid w:val="00411AF2"/>
    <w:rsid w:val="00431CCD"/>
    <w:rsid w:val="004339B1"/>
    <w:rsid w:val="004361C5"/>
    <w:rsid w:val="0044124C"/>
    <w:rsid w:val="00442077"/>
    <w:rsid w:val="00442CC5"/>
    <w:rsid w:val="00461C65"/>
    <w:rsid w:val="00461CDE"/>
    <w:rsid w:val="0046463A"/>
    <w:rsid w:val="00464ABA"/>
    <w:rsid w:val="0046604C"/>
    <w:rsid w:val="00472B81"/>
    <w:rsid w:val="00473000"/>
    <w:rsid w:val="00481F23"/>
    <w:rsid w:val="0048224D"/>
    <w:rsid w:val="004825A4"/>
    <w:rsid w:val="0048645E"/>
    <w:rsid w:val="00493694"/>
    <w:rsid w:val="00496859"/>
    <w:rsid w:val="004A4B06"/>
    <w:rsid w:val="004A69D8"/>
    <w:rsid w:val="004B2FBC"/>
    <w:rsid w:val="004B3392"/>
    <w:rsid w:val="004B5149"/>
    <w:rsid w:val="004C26E3"/>
    <w:rsid w:val="004C6180"/>
    <w:rsid w:val="004C7B82"/>
    <w:rsid w:val="004D125A"/>
    <w:rsid w:val="004D2441"/>
    <w:rsid w:val="004D2A08"/>
    <w:rsid w:val="004D42B9"/>
    <w:rsid w:val="004D463D"/>
    <w:rsid w:val="004D5499"/>
    <w:rsid w:val="004E09CE"/>
    <w:rsid w:val="004E4D53"/>
    <w:rsid w:val="004E50CD"/>
    <w:rsid w:val="004E5908"/>
    <w:rsid w:val="004F7CEE"/>
    <w:rsid w:val="00500D53"/>
    <w:rsid w:val="005072D6"/>
    <w:rsid w:val="005136AB"/>
    <w:rsid w:val="00520DE6"/>
    <w:rsid w:val="00522C3E"/>
    <w:rsid w:val="00525500"/>
    <w:rsid w:val="005265F0"/>
    <w:rsid w:val="00545338"/>
    <w:rsid w:val="0055332C"/>
    <w:rsid w:val="0055659B"/>
    <w:rsid w:val="00560508"/>
    <w:rsid w:val="00565C03"/>
    <w:rsid w:val="00566755"/>
    <w:rsid w:val="00582B20"/>
    <w:rsid w:val="00583EBE"/>
    <w:rsid w:val="00584BB3"/>
    <w:rsid w:val="00586250"/>
    <w:rsid w:val="00591CD5"/>
    <w:rsid w:val="0059398D"/>
    <w:rsid w:val="005970E1"/>
    <w:rsid w:val="005A07DB"/>
    <w:rsid w:val="005A41ED"/>
    <w:rsid w:val="005B313E"/>
    <w:rsid w:val="005B638D"/>
    <w:rsid w:val="005B73FD"/>
    <w:rsid w:val="005C243B"/>
    <w:rsid w:val="005E160D"/>
    <w:rsid w:val="005E16E1"/>
    <w:rsid w:val="005E2B0B"/>
    <w:rsid w:val="005E3A50"/>
    <w:rsid w:val="005E44A4"/>
    <w:rsid w:val="005E6D26"/>
    <w:rsid w:val="005F203E"/>
    <w:rsid w:val="005F39C1"/>
    <w:rsid w:val="0060204C"/>
    <w:rsid w:val="00605688"/>
    <w:rsid w:val="0060646B"/>
    <w:rsid w:val="00612D9A"/>
    <w:rsid w:val="006154AB"/>
    <w:rsid w:val="00616F16"/>
    <w:rsid w:val="0062330A"/>
    <w:rsid w:val="00625385"/>
    <w:rsid w:val="006269A6"/>
    <w:rsid w:val="0062766C"/>
    <w:rsid w:val="00631B59"/>
    <w:rsid w:val="00636859"/>
    <w:rsid w:val="00642DCD"/>
    <w:rsid w:val="00644903"/>
    <w:rsid w:val="006528EF"/>
    <w:rsid w:val="00653019"/>
    <w:rsid w:val="00657E43"/>
    <w:rsid w:val="00664C4D"/>
    <w:rsid w:val="006815DF"/>
    <w:rsid w:val="00681E1E"/>
    <w:rsid w:val="00683E91"/>
    <w:rsid w:val="0068737E"/>
    <w:rsid w:val="006901CE"/>
    <w:rsid w:val="0069146F"/>
    <w:rsid w:val="00693399"/>
    <w:rsid w:val="006A0D14"/>
    <w:rsid w:val="006A6E15"/>
    <w:rsid w:val="006A77BF"/>
    <w:rsid w:val="006B357B"/>
    <w:rsid w:val="006B787E"/>
    <w:rsid w:val="006D7B92"/>
    <w:rsid w:val="006F3201"/>
    <w:rsid w:val="007048D2"/>
    <w:rsid w:val="007056C9"/>
    <w:rsid w:val="00710FF4"/>
    <w:rsid w:val="007139CF"/>
    <w:rsid w:val="00716D84"/>
    <w:rsid w:val="00716F73"/>
    <w:rsid w:val="007225B3"/>
    <w:rsid w:val="00730614"/>
    <w:rsid w:val="00730F05"/>
    <w:rsid w:val="007314B0"/>
    <w:rsid w:val="007355DD"/>
    <w:rsid w:val="00735F5E"/>
    <w:rsid w:val="00743978"/>
    <w:rsid w:val="0074643B"/>
    <w:rsid w:val="00753919"/>
    <w:rsid w:val="007552EB"/>
    <w:rsid w:val="00763989"/>
    <w:rsid w:val="0076516F"/>
    <w:rsid w:val="00772A49"/>
    <w:rsid w:val="007A1A42"/>
    <w:rsid w:val="007A2A5B"/>
    <w:rsid w:val="007B355F"/>
    <w:rsid w:val="007B51F8"/>
    <w:rsid w:val="007C0D63"/>
    <w:rsid w:val="007C60E5"/>
    <w:rsid w:val="007C6D87"/>
    <w:rsid w:val="007D4390"/>
    <w:rsid w:val="007D6403"/>
    <w:rsid w:val="007F0134"/>
    <w:rsid w:val="007F26D6"/>
    <w:rsid w:val="007F281B"/>
    <w:rsid w:val="007F64A3"/>
    <w:rsid w:val="008011F9"/>
    <w:rsid w:val="00802017"/>
    <w:rsid w:val="008021B3"/>
    <w:rsid w:val="00806858"/>
    <w:rsid w:val="00807F81"/>
    <w:rsid w:val="00844299"/>
    <w:rsid w:val="00856CC3"/>
    <w:rsid w:val="00857BA0"/>
    <w:rsid w:val="00862B76"/>
    <w:rsid w:val="00864647"/>
    <w:rsid w:val="0086548E"/>
    <w:rsid w:val="00871A58"/>
    <w:rsid w:val="0087299D"/>
    <w:rsid w:val="00875428"/>
    <w:rsid w:val="008829D9"/>
    <w:rsid w:val="00885F7C"/>
    <w:rsid w:val="00887796"/>
    <w:rsid w:val="00890858"/>
    <w:rsid w:val="00892759"/>
    <w:rsid w:val="00893E48"/>
    <w:rsid w:val="00895456"/>
    <w:rsid w:val="008A1ECF"/>
    <w:rsid w:val="008B039D"/>
    <w:rsid w:val="008B051C"/>
    <w:rsid w:val="008B1735"/>
    <w:rsid w:val="008B462C"/>
    <w:rsid w:val="008C1256"/>
    <w:rsid w:val="008C2AB3"/>
    <w:rsid w:val="008C2B38"/>
    <w:rsid w:val="008C638A"/>
    <w:rsid w:val="008D06BF"/>
    <w:rsid w:val="008D073D"/>
    <w:rsid w:val="008D3663"/>
    <w:rsid w:val="008F19DE"/>
    <w:rsid w:val="008F1B5D"/>
    <w:rsid w:val="008F2FAD"/>
    <w:rsid w:val="00901D03"/>
    <w:rsid w:val="00903A62"/>
    <w:rsid w:val="009136B5"/>
    <w:rsid w:val="00917B82"/>
    <w:rsid w:val="009262C9"/>
    <w:rsid w:val="00927D93"/>
    <w:rsid w:val="00954ABB"/>
    <w:rsid w:val="00955F0D"/>
    <w:rsid w:val="00955FE1"/>
    <w:rsid w:val="00957C07"/>
    <w:rsid w:val="009626FF"/>
    <w:rsid w:val="00972E4E"/>
    <w:rsid w:val="00975D77"/>
    <w:rsid w:val="00985A5C"/>
    <w:rsid w:val="00986AA0"/>
    <w:rsid w:val="00994647"/>
    <w:rsid w:val="00995B3B"/>
    <w:rsid w:val="009A2389"/>
    <w:rsid w:val="009A2600"/>
    <w:rsid w:val="009A4709"/>
    <w:rsid w:val="009A4F3C"/>
    <w:rsid w:val="009B2DE6"/>
    <w:rsid w:val="009C7619"/>
    <w:rsid w:val="009C786D"/>
    <w:rsid w:val="009D4400"/>
    <w:rsid w:val="009D774E"/>
    <w:rsid w:val="009E2DF3"/>
    <w:rsid w:val="009F0410"/>
    <w:rsid w:val="009F1484"/>
    <w:rsid w:val="009F2223"/>
    <w:rsid w:val="009F38FF"/>
    <w:rsid w:val="009F4CD1"/>
    <w:rsid w:val="009F4F07"/>
    <w:rsid w:val="009F58D9"/>
    <w:rsid w:val="009F5C9B"/>
    <w:rsid w:val="009F6207"/>
    <w:rsid w:val="00A000C1"/>
    <w:rsid w:val="00A05555"/>
    <w:rsid w:val="00A11CF9"/>
    <w:rsid w:val="00A22DC4"/>
    <w:rsid w:val="00A341D9"/>
    <w:rsid w:val="00A3621E"/>
    <w:rsid w:val="00A47B94"/>
    <w:rsid w:val="00A54234"/>
    <w:rsid w:val="00A55FA7"/>
    <w:rsid w:val="00A5633F"/>
    <w:rsid w:val="00A63219"/>
    <w:rsid w:val="00A74731"/>
    <w:rsid w:val="00A80E6A"/>
    <w:rsid w:val="00A80EB3"/>
    <w:rsid w:val="00A8236D"/>
    <w:rsid w:val="00A8663C"/>
    <w:rsid w:val="00A903D6"/>
    <w:rsid w:val="00A975BE"/>
    <w:rsid w:val="00AA5928"/>
    <w:rsid w:val="00AB1C5D"/>
    <w:rsid w:val="00AB5714"/>
    <w:rsid w:val="00AC392E"/>
    <w:rsid w:val="00AC4257"/>
    <w:rsid w:val="00AC4DA9"/>
    <w:rsid w:val="00AD45CF"/>
    <w:rsid w:val="00AD6C6D"/>
    <w:rsid w:val="00AE07D8"/>
    <w:rsid w:val="00AE16C9"/>
    <w:rsid w:val="00AE3120"/>
    <w:rsid w:val="00AF1F68"/>
    <w:rsid w:val="00AF2AB7"/>
    <w:rsid w:val="00B10652"/>
    <w:rsid w:val="00B10AE4"/>
    <w:rsid w:val="00B11BDB"/>
    <w:rsid w:val="00B1716F"/>
    <w:rsid w:val="00B1753A"/>
    <w:rsid w:val="00B2036D"/>
    <w:rsid w:val="00B32228"/>
    <w:rsid w:val="00B42377"/>
    <w:rsid w:val="00B45702"/>
    <w:rsid w:val="00B464D0"/>
    <w:rsid w:val="00B4785C"/>
    <w:rsid w:val="00B53841"/>
    <w:rsid w:val="00B6340C"/>
    <w:rsid w:val="00B63478"/>
    <w:rsid w:val="00B6514C"/>
    <w:rsid w:val="00B71066"/>
    <w:rsid w:val="00B760C7"/>
    <w:rsid w:val="00B77057"/>
    <w:rsid w:val="00B819A5"/>
    <w:rsid w:val="00B81DD7"/>
    <w:rsid w:val="00B83E16"/>
    <w:rsid w:val="00B8657B"/>
    <w:rsid w:val="00B86929"/>
    <w:rsid w:val="00B878CF"/>
    <w:rsid w:val="00B94ECB"/>
    <w:rsid w:val="00B95D98"/>
    <w:rsid w:val="00BA2D17"/>
    <w:rsid w:val="00BA330C"/>
    <w:rsid w:val="00BB499B"/>
    <w:rsid w:val="00BB6AB0"/>
    <w:rsid w:val="00BC0CF4"/>
    <w:rsid w:val="00BD5FF8"/>
    <w:rsid w:val="00BE694F"/>
    <w:rsid w:val="00BF0E95"/>
    <w:rsid w:val="00BF0FE6"/>
    <w:rsid w:val="00BF46B5"/>
    <w:rsid w:val="00BF5183"/>
    <w:rsid w:val="00BF6052"/>
    <w:rsid w:val="00BF76FC"/>
    <w:rsid w:val="00C01F3A"/>
    <w:rsid w:val="00C03FBF"/>
    <w:rsid w:val="00C0538F"/>
    <w:rsid w:val="00C145B8"/>
    <w:rsid w:val="00C17D90"/>
    <w:rsid w:val="00C24AA6"/>
    <w:rsid w:val="00C31317"/>
    <w:rsid w:val="00C36BCB"/>
    <w:rsid w:val="00C4247E"/>
    <w:rsid w:val="00C44085"/>
    <w:rsid w:val="00C455B1"/>
    <w:rsid w:val="00C51A81"/>
    <w:rsid w:val="00C53D96"/>
    <w:rsid w:val="00C6026E"/>
    <w:rsid w:val="00C61869"/>
    <w:rsid w:val="00C705B7"/>
    <w:rsid w:val="00C70E50"/>
    <w:rsid w:val="00C719CF"/>
    <w:rsid w:val="00C7494A"/>
    <w:rsid w:val="00C77430"/>
    <w:rsid w:val="00C810E0"/>
    <w:rsid w:val="00C8203B"/>
    <w:rsid w:val="00C85EBC"/>
    <w:rsid w:val="00C87A43"/>
    <w:rsid w:val="00C9183D"/>
    <w:rsid w:val="00C92BE5"/>
    <w:rsid w:val="00C952FD"/>
    <w:rsid w:val="00C96D28"/>
    <w:rsid w:val="00C96D9F"/>
    <w:rsid w:val="00CA47E8"/>
    <w:rsid w:val="00CA5852"/>
    <w:rsid w:val="00CB4F5C"/>
    <w:rsid w:val="00CC21C2"/>
    <w:rsid w:val="00CC5192"/>
    <w:rsid w:val="00CD026E"/>
    <w:rsid w:val="00CD4451"/>
    <w:rsid w:val="00CD4FAA"/>
    <w:rsid w:val="00CD51C0"/>
    <w:rsid w:val="00CE1C4E"/>
    <w:rsid w:val="00CE316F"/>
    <w:rsid w:val="00CE68EA"/>
    <w:rsid w:val="00CF1376"/>
    <w:rsid w:val="00CF3137"/>
    <w:rsid w:val="00CF4515"/>
    <w:rsid w:val="00CF54C4"/>
    <w:rsid w:val="00CF6EB1"/>
    <w:rsid w:val="00CF70FB"/>
    <w:rsid w:val="00D0067C"/>
    <w:rsid w:val="00D0395D"/>
    <w:rsid w:val="00D07D72"/>
    <w:rsid w:val="00D16380"/>
    <w:rsid w:val="00D24869"/>
    <w:rsid w:val="00D24EC3"/>
    <w:rsid w:val="00D2619C"/>
    <w:rsid w:val="00D314D9"/>
    <w:rsid w:val="00D33088"/>
    <w:rsid w:val="00D53831"/>
    <w:rsid w:val="00D53F8C"/>
    <w:rsid w:val="00D54152"/>
    <w:rsid w:val="00D556FE"/>
    <w:rsid w:val="00D56360"/>
    <w:rsid w:val="00D71A15"/>
    <w:rsid w:val="00D76EC6"/>
    <w:rsid w:val="00D85A71"/>
    <w:rsid w:val="00D911C8"/>
    <w:rsid w:val="00D9252D"/>
    <w:rsid w:val="00D9456F"/>
    <w:rsid w:val="00D94923"/>
    <w:rsid w:val="00D95110"/>
    <w:rsid w:val="00DA6DDF"/>
    <w:rsid w:val="00DA75AC"/>
    <w:rsid w:val="00DB318A"/>
    <w:rsid w:val="00DB3372"/>
    <w:rsid w:val="00DB40A1"/>
    <w:rsid w:val="00DC0276"/>
    <w:rsid w:val="00DC1BDA"/>
    <w:rsid w:val="00DC53DB"/>
    <w:rsid w:val="00DD0F5B"/>
    <w:rsid w:val="00DD2883"/>
    <w:rsid w:val="00DD30FA"/>
    <w:rsid w:val="00DE167D"/>
    <w:rsid w:val="00DF51B8"/>
    <w:rsid w:val="00E0506C"/>
    <w:rsid w:val="00E11AE8"/>
    <w:rsid w:val="00E1691E"/>
    <w:rsid w:val="00E234E3"/>
    <w:rsid w:val="00E2352A"/>
    <w:rsid w:val="00E400A5"/>
    <w:rsid w:val="00E41763"/>
    <w:rsid w:val="00E47570"/>
    <w:rsid w:val="00E54B53"/>
    <w:rsid w:val="00E62A52"/>
    <w:rsid w:val="00E63327"/>
    <w:rsid w:val="00E64495"/>
    <w:rsid w:val="00E6735A"/>
    <w:rsid w:val="00E7075D"/>
    <w:rsid w:val="00E80270"/>
    <w:rsid w:val="00E83BF0"/>
    <w:rsid w:val="00E85FBB"/>
    <w:rsid w:val="00E872A5"/>
    <w:rsid w:val="00E91BD2"/>
    <w:rsid w:val="00E936D1"/>
    <w:rsid w:val="00E969B9"/>
    <w:rsid w:val="00EA12B8"/>
    <w:rsid w:val="00EA183C"/>
    <w:rsid w:val="00EA28B2"/>
    <w:rsid w:val="00EA3B39"/>
    <w:rsid w:val="00EA546B"/>
    <w:rsid w:val="00EB1CBF"/>
    <w:rsid w:val="00EC0390"/>
    <w:rsid w:val="00EC768B"/>
    <w:rsid w:val="00ED1EA3"/>
    <w:rsid w:val="00ED33C7"/>
    <w:rsid w:val="00ED4759"/>
    <w:rsid w:val="00ED586E"/>
    <w:rsid w:val="00EF06A8"/>
    <w:rsid w:val="00F11AEB"/>
    <w:rsid w:val="00F11B8A"/>
    <w:rsid w:val="00F174DA"/>
    <w:rsid w:val="00F218A9"/>
    <w:rsid w:val="00F22D66"/>
    <w:rsid w:val="00F24611"/>
    <w:rsid w:val="00F31A8A"/>
    <w:rsid w:val="00F32A42"/>
    <w:rsid w:val="00F35795"/>
    <w:rsid w:val="00F4037A"/>
    <w:rsid w:val="00F441F4"/>
    <w:rsid w:val="00F60686"/>
    <w:rsid w:val="00F60FCC"/>
    <w:rsid w:val="00F71D9E"/>
    <w:rsid w:val="00F812CC"/>
    <w:rsid w:val="00F87CCB"/>
    <w:rsid w:val="00F93CA5"/>
    <w:rsid w:val="00F94603"/>
    <w:rsid w:val="00F96683"/>
    <w:rsid w:val="00FB4CB9"/>
    <w:rsid w:val="00FC1696"/>
    <w:rsid w:val="00FC1B61"/>
    <w:rsid w:val="00FC56D3"/>
    <w:rsid w:val="00FD00E0"/>
    <w:rsid w:val="00FD0106"/>
    <w:rsid w:val="00FD2BCF"/>
    <w:rsid w:val="00FD2DD3"/>
    <w:rsid w:val="00FD4D05"/>
    <w:rsid w:val="00FD53A6"/>
    <w:rsid w:val="00FE3915"/>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829B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en/system/tdf/library/attachments/cs_14_jordan_cfs.pdf?file=1&amp;type=node&amp;id=41781" TargetMode="External"/><Relationship Id="rId18" Type="http://schemas.openxmlformats.org/officeDocument/2006/relationships/hyperlink" Target="https://www.unicef.org/media/92251/file/Access-to-Justice-COVID-19-Field-Notes-2021.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ettercarenetwork.org/sites/default/files/2020-10/Alternative%20Care%20Arrangements%20for%20Unaccompanied%20%26%20Separated%20Children%20In%20Humanitarian%20Contexts%20In%20Uganda%2C%202018.pdf" TargetMode="External"/><Relationship Id="rId17" Type="http://schemas.openxmlformats.org/officeDocument/2006/relationships/hyperlink" Target="https://bettercarenetwork.org/sites/default/files/2020-10/Alternative%20Care%20Arrangements%20for%20Unaccompanied%20%26%20Separated%20Children%20In%20Humanitarian%20Contexts%20In%20Uganda%2C%202018.pdf" TargetMode="External"/><Relationship Id="rId2" Type="http://schemas.openxmlformats.org/officeDocument/2006/relationships/numbering" Target="numbering.xml"/><Relationship Id="rId16" Type="http://schemas.openxmlformats.org/officeDocument/2006/relationships/hyperlink" Target="https://resourcecentre.savethechildren.net/document/inter-agency-guidelines-case-management-and-child-prote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iancecpha.org/en/system/tdf/library/attachments/ccp-_reflective_field_guide.pdf?file=1&amp;type=node&amp;id=37906" TargetMode="External"/><Relationship Id="rId5" Type="http://schemas.openxmlformats.org/officeDocument/2006/relationships/webSettings" Target="webSettings.xml"/><Relationship Id="rId15" Type="http://schemas.openxmlformats.org/officeDocument/2006/relationships/hyperlink" Target="https://www.rescue.org/sites/default/files/document/2086/parentingindisplacementreport-single-101917.pdf" TargetMode="External"/><Relationship Id="rId23" Type="http://schemas.openxmlformats.org/officeDocument/2006/relationships/theme" Target="theme/theme1.xml"/><Relationship Id="rId10" Type="http://schemas.openxmlformats.org/officeDocument/2006/relationships/hyperlink" Target="https://www.rescue.org/sites/default/files/document/2086/parentingindisplacementreport-single-101917.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liancecpha.org/en/system/tdf/library/attachments/cs_14_jordan_cfs.pdf?file=1&amp;type=node&amp;id=41781" TargetMode="External"/><Relationship Id="rId14" Type="http://schemas.openxmlformats.org/officeDocument/2006/relationships/hyperlink" Target="https://www.rescue.org/sites/default/files/document/2086/parentingindisplacementreport-single-101917.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87</cp:revision>
  <dcterms:created xsi:type="dcterms:W3CDTF">2024-05-08T13:37:00Z</dcterms:created>
  <dcterms:modified xsi:type="dcterms:W3CDTF">2024-05-27T18:33:00Z</dcterms:modified>
</cp:coreProperties>
</file>