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5395915B">
            <wp:simplePos x="0" y="0"/>
            <wp:positionH relativeFrom="margin">
              <wp:align>right</wp:align>
            </wp:positionH>
            <wp:positionV relativeFrom="paragraph">
              <wp:posOffset>-1772</wp:posOffset>
            </wp:positionV>
            <wp:extent cx="9093157" cy="2541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117860" cy="2548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r w:rsidR="008B051C">
        <w:t>package</w:t>
      </w:r>
    </w:p>
    <w:p w14:paraId="795782A3" w14:textId="5DD078C4" w:rsidR="00EA546B" w:rsidRDefault="00877D75" w:rsidP="00486E52">
      <w:pPr>
        <w:pStyle w:val="Heading9"/>
      </w:pPr>
      <w:r w:rsidRPr="00877D75">
        <w:t xml:space="preserve">Cross-cutting issues: </w:t>
      </w:r>
      <w:r w:rsidR="00D96523">
        <w:t>Gender</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116FDE6F" w14:textId="5EC85E85" w:rsidR="003F185D" w:rsidRDefault="0041017E" w:rsidP="008A7CD9">
      <w:pPr>
        <w:pStyle w:val="TableSmallBlueHeading"/>
      </w:pPr>
      <w:bookmarkStart w:id="1" w:name="_Toc522623219"/>
      <w:r w:rsidRPr="007744AD">
        <w:t>By the end of the session, participants will be able to:</w:t>
      </w:r>
      <w:bookmarkEnd w:id="1"/>
    </w:p>
    <w:p w14:paraId="75FDC95D" w14:textId="77777777" w:rsidR="00881702" w:rsidRPr="00481076" w:rsidRDefault="00881702" w:rsidP="00881702">
      <w:pPr>
        <w:pStyle w:val="NormalTextBulletsLevel1"/>
        <w:rPr>
          <w:highlight w:val="white"/>
        </w:rPr>
      </w:pPr>
      <w:r w:rsidRPr="00481076">
        <w:rPr>
          <w:highlight w:val="white"/>
        </w:rPr>
        <w:t>Discuss the relevance of gender to child protection in humanitarian action</w:t>
      </w:r>
    </w:p>
    <w:p w14:paraId="2422EBB3" w14:textId="77777777" w:rsidR="00881702" w:rsidRPr="00481076" w:rsidRDefault="00881702" w:rsidP="00881702">
      <w:pPr>
        <w:pStyle w:val="NormalTextBulletsLevel1"/>
        <w:rPr>
          <w:highlight w:val="white"/>
        </w:rPr>
      </w:pPr>
      <w:r w:rsidRPr="00481076">
        <w:rPr>
          <w:highlight w:val="white"/>
        </w:rPr>
        <w:t>Reflect on potential opportunities and challenges for incorporating gender into CP programming</w:t>
      </w:r>
    </w:p>
    <w:p w14:paraId="22BEA113" w14:textId="77777777" w:rsidR="000D6864" w:rsidRPr="00B75A0B" w:rsidRDefault="000D6864" w:rsidP="00881702">
      <w:pPr>
        <w:pStyle w:val="NormalTextBulletsLevel1"/>
        <w:numPr>
          <w:ilvl w:val="0"/>
          <w:numId w:val="0"/>
        </w:numPr>
        <w:ind w:left="284"/>
        <w:rPr>
          <w:highlight w:val="white"/>
        </w:rPr>
      </w:pPr>
    </w:p>
    <w:p w14:paraId="2AC304A4" w14:textId="77777777" w:rsidR="000C544D" w:rsidRDefault="000C544D" w:rsidP="00486E52">
      <w:pPr>
        <w:pStyle w:val="1Heading1"/>
      </w:pPr>
      <w:r>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7B34BAF1" w14:textId="77777777" w:rsidR="00897244" w:rsidRDefault="00897244" w:rsidP="00897244">
      <w:pPr>
        <w:pStyle w:val="NormalTextBulletsLevel1"/>
      </w:pPr>
      <w:r w:rsidRPr="00481076">
        <w:rPr>
          <w:highlight w:val="white"/>
        </w:rPr>
        <w:t>Gender plays a critical role in how children are treated and how their rights are respected within families a</w:t>
      </w:r>
      <w:r>
        <w:rPr>
          <w:highlight w:val="white"/>
        </w:rPr>
        <w:t>nd communities. The</w:t>
      </w:r>
      <w:r w:rsidRPr="00481076">
        <w:rPr>
          <w:highlight w:val="white"/>
        </w:rPr>
        <w:t xml:space="preserve"> gender norms</w:t>
      </w:r>
      <w:r>
        <w:rPr>
          <w:highlight w:val="white"/>
        </w:rPr>
        <w:t xml:space="preserve"> of societies</w:t>
      </w:r>
      <w:r w:rsidRPr="00481076">
        <w:rPr>
          <w:highlight w:val="white"/>
        </w:rPr>
        <w:t xml:space="preserve"> influence girls’ and boys’ different ex</w:t>
      </w:r>
      <w:r>
        <w:rPr>
          <w:highlight w:val="white"/>
        </w:rPr>
        <w:t xml:space="preserve">periences, potential and risks. </w:t>
      </w:r>
      <w:r w:rsidRPr="00481076">
        <w:rPr>
          <w:highlight w:val="white"/>
        </w:rPr>
        <w:t xml:space="preserve">These ‘gendered norms’ also affect </w:t>
      </w:r>
      <w:r w:rsidRPr="00481076">
        <w:rPr>
          <w:highlight w:val="white"/>
        </w:rPr>
        <w:lastRenderedPageBreak/>
        <w:t>children with non-binary gender identity or sex characteristics, such as those who identify as lesbian, gay, bisexual or transgender or who are intersex. Pre-existing gender inequalities tend to increase during a humanitarian crisis. For example, girls face greater risks of child marriage and boys may be more vulnerable to forced recruitment. Transgender children</w:t>
      </w:r>
      <w:r>
        <w:rPr>
          <w:highlight w:val="white"/>
        </w:rPr>
        <w:t xml:space="preserve"> may be at </w:t>
      </w:r>
      <w:r w:rsidRPr="00481076">
        <w:rPr>
          <w:highlight w:val="white"/>
        </w:rPr>
        <w:t>greater risk o</w:t>
      </w:r>
      <w:r>
        <w:rPr>
          <w:highlight w:val="white"/>
        </w:rPr>
        <w:t>f prejudice, stigma, violence and face</w:t>
      </w:r>
      <w:r w:rsidRPr="00481076">
        <w:rPr>
          <w:highlight w:val="white"/>
        </w:rPr>
        <w:t xml:space="preserve"> difficulties accessing humanitarian services. Analyses of children’s risks and resilience related to gender should be conducted throughout the programme cycle. Gender also impacts family dynamics and care arrangements for children. </w:t>
      </w:r>
      <w:r>
        <w:rPr>
          <w:highlight w:val="white"/>
        </w:rPr>
        <w:t>Interventions should:</w:t>
      </w:r>
    </w:p>
    <w:p w14:paraId="30F4B274" w14:textId="77777777" w:rsidR="00897244" w:rsidRPr="00481076" w:rsidRDefault="00897244" w:rsidP="00897244">
      <w:pPr>
        <w:pStyle w:val="NormalTextBulletsLevel2"/>
        <w:rPr>
          <w:sz w:val="26"/>
          <w:szCs w:val="26"/>
        </w:rPr>
      </w:pPr>
      <w:r w:rsidRPr="00481076">
        <w:rPr>
          <w:highlight w:val="white"/>
        </w:rPr>
        <w:t>Be info</w:t>
      </w:r>
      <w:r>
        <w:rPr>
          <w:highlight w:val="white"/>
        </w:rPr>
        <w:t>rmed by robust gender analysis</w:t>
      </w:r>
    </w:p>
    <w:p w14:paraId="366ECC35" w14:textId="77777777" w:rsidR="00897244" w:rsidRPr="00481076" w:rsidRDefault="00897244" w:rsidP="00897244">
      <w:pPr>
        <w:pStyle w:val="NormalTextBulletsLevel2"/>
        <w:rPr>
          <w:sz w:val="26"/>
          <w:szCs w:val="26"/>
        </w:rPr>
      </w:pPr>
      <w:r w:rsidRPr="00481076">
        <w:rPr>
          <w:highlight w:val="white"/>
        </w:rPr>
        <w:t>Be sensitive to the root causes of gende</w:t>
      </w:r>
      <w:r>
        <w:rPr>
          <w:highlight w:val="white"/>
        </w:rPr>
        <w:t>r discrimination and inequality</w:t>
      </w:r>
    </w:p>
    <w:p w14:paraId="539CCC58" w14:textId="77777777" w:rsidR="00897244" w:rsidRPr="00481076" w:rsidRDefault="00897244" w:rsidP="00897244">
      <w:pPr>
        <w:pStyle w:val="NormalTextBulletsLevel2"/>
        <w:rPr>
          <w:sz w:val="26"/>
          <w:szCs w:val="26"/>
        </w:rPr>
      </w:pPr>
      <w:r w:rsidRPr="00481076">
        <w:rPr>
          <w:highlight w:val="white"/>
        </w:rPr>
        <w:t>Avoid reinforcing or continui</w:t>
      </w:r>
      <w:r>
        <w:rPr>
          <w:highlight w:val="white"/>
        </w:rPr>
        <w:t>ng gendered power relations</w:t>
      </w:r>
    </w:p>
    <w:p w14:paraId="69A61B10" w14:textId="74CF9DE4" w:rsidR="0068688D" w:rsidRPr="00D91C8D" w:rsidRDefault="00897244" w:rsidP="00D91C8D">
      <w:pPr>
        <w:pStyle w:val="NormalTextBulletsLevel2"/>
        <w:rPr>
          <w:sz w:val="26"/>
          <w:szCs w:val="26"/>
        </w:rPr>
      </w:pPr>
      <w:r w:rsidRPr="00481076">
        <w:rPr>
          <w:highlight w:val="white"/>
        </w:rPr>
        <w:t>Support gender equality whenever possible.</w:t>
      </w:r>
    </w:p>
    <w:p w14:paraId="5F0ABF48" w14:textId="771A3A86" w:rsidR="00AD45CF" w:rsidRPr="00AD45CF" w:rsidRDefault="00CD4FAA" w:rsidP="006674F3">
      <w:pPr>
        <w:pStyle w:val="1Heading1"/>
      </w:pPr>
      <w:r>
        <w:t>Session o</w:t>
      </w:r>
      <w:r w:rsidRPr="005D4A25">
        <w:t>utlin</w:t>
      </w:r>
      <w:r>
        <w:t>e</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3E1A4D" w:rsidRDefault="00BE171C" w:rsidP="003E1A4D">
            <w:pPr>
              <w:pStyle w:val="Mormal03CMIndent"/>
            </w:pPr>
            <w:r w:rsidRPr="003E1A4D">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0C8561D6" w:rsidR="00972E4E" w:rsidRPr="003E1A4D" w:rsidRDefault="00902FEA" w:rsidP="003E1A4D">
            <w:pPr>
              <w:pStyle w:val="Mormal03CMIndent"/>
            </w:pPr>
            <w:r w:rsidRPr="003E1A4D">
              <w:t>Trainer input</w:t>
            </w:r>
          </w:p>
        </w:tc>
        <w:tc>
          <w:tcPr>
            <w:tcW w:w="1414" w:type="dxa"/>
            <w:shd w:val="clear" w:color="auto" w:fill="F2F2F2" w:themeFill="background1" w:themeFillShade="F2"/>
            <w:tcMar>
              <w:top w:w="0" w:type="dxa"/>
              <w:left w:w="0" w:type="dxa"/>
              <w:bottom w:w="0" w:type="dxa"/>
              <w:right w:w="0" w:type="dxa"/>
            </w:tcMar>
            <w:vAlign w:val="center"/>
          </w:tcPr>
          <w:p w14:paraId="4DF49F97" w14:textId="10C5670A" w:rsidR="00972E4E" w:rsidRPr="003E1A4D" w:rsidRDefault="00F659D7" w:rsidP="003E1A4D">
            <w:pPr>
              <w:pStyle w:val="Mormal03CMIndent"/>
            </w:pPr>
            <w:r w:rsidRPr="003E1A4D">
              <w:t>5</w:t>
            </w:r>
            <w:r w:rsidR="00972E4E" w:rsidRPr="003E1A4D">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0901FC9A" w:rsidR="009F1484" w:rsidRPr="003E1A4D" w:rsidRDefault="00844D1D" w:rsidP="003E1A4D">
            <w:pPr>
              <w:pStyle w:val="Mormal03CMIndent"/>
            </w:pPr>
            <w:r w:rsidRPr="003E1A4D">
              <w:t>Relevance of gender to CPHA</w:t>
            </w:r>
          </w:p>
        </w:tc>
        <w:tc>
          <w:tcPr>
            <w:tcW w:w="4820" w:type="dxa"/>
            <w:shd w:val="clear" w:color="auto" w:fill="FFFFFF"/>
            <w:tcMar>
              <w:top w:w="0" w:type="dxa"/>
              <w:left w:w="0" w:type="dxa"/>
              <w:bottom w:w="0" w:type="dxa"/>
              <w:right w:w="0" w:type="dxa"/>
            </w:tcMar>
            <w:vAlign w:val="center"/>
          </w:tcPr>
          <w:p w14:paraId="0C3785EA" w14:textId="3B96FD73" w:rsidR="009F1484" w:rsidRPr="003E1A4D" w:rsidRDefault="00047278" w:rsidP="003E1A4D">
            <w:pPr>
              <w:pStyle w:val="Mormal03CMIndent"/>
            </w:pPr>
            <w:r w:rsidRPr="003E1A4D">
              <w:t>Individual exercise and plenary discussion</w:t>
            </w:r>
          </w:p>
        </w:tc>
        <w:tc>
          <w:tcPr>
            <w:tcW w:w="1414" w:type="dxa"/>
            <w:shd w:val="clear" w:color="auto" w:fill="FFFFFF"/>
            <w:tcMar>
              <w:top w:w="0" w:type="dxa"/>
              <w:left w:w="0" w:type="dxa"/>
              <w:bottom w:w="0" w:type="dxa"/>
              <w:right w:w="0" w:type="dxa"/>
            </w:tcMar>
            <w:vAlign w:val="center"/>
          </w:tcPr>
          <w:p w14:paraId="49190D04" w14:textId="111C9AE7" w:rsidR="009F1484" w:rsidRPr="003E1A4D" w:rsidRDefault="005B54E9" w:rsidP="003E1A4D">
            <w:pPr>
              <w:pStyle w:val="Mormal03CMIndent"/>
            </w:pPr>
            <w:r w:rsidRPr="003E1A4D">
              <w:t>30</w:t>
            </w:r>
            <w:r w:rsidR="009F1484" w:rsidRPr="003E1A4D">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2130D4D5" w:rsidR="00CD51C0" w:rsidRPr="003E1A4D" w:rsidRDefault="002F58EC" w:rsidP="003E1A4D">
            <w:pPr>
              <w:pStyle w:val="Mormal03CMIndent"/>
            </w:pPr>
            <w:r w:rsidRPr="003E1A4D">
              <w:t>Current challenges in our own work</w:t>
            </w:r>
          </w:p>
        </w:tc>
        <w:tc>
          <w:tcPr>
            <w:tcW w:w="4820" w:type="dxa"/>
            <w:shd w:val="clear" w:color="auto" w:fill="F2F2F2" w:themeFill="background1" w:themeFillShade="F2"/>
            <w:tcMar>
              <w:top w:w="0" w:type="dxa"/>
              <w:left w:w="0" w:type="dxa"/>
              <w:bottom w:w="0" w:type="dxa"/>
              <w:right w:w="0" w:type="dxa"/>
            </w:tcMar>
            <w:vAlign w:val="center"/>
          </w:tcPr>
          <w:p w14:paraId="6CF8201B" w14:textId="10783E25" w:rsidR="00CD51C0" w:rsidRPr="003E1A4D" w:rsidRDefault="00EC6754" w:rsidP="003E1A4D">
            <w:pPr>
              <w:pStyle w:val="Mormal03CMIndent"/>
            </w:pPr>
            <w:r w:rsidRPr="003E1A4D">
              <w:t>Small group discussion</w:t>
            </w:r>
          </w:p>
        </w:tc>
        <w:tc>
          <w:tcPr>
            <w:tcW w:w="1414" w:type="dxa"/>
            <w:shd w:val="clear" w:color="auto" w:fill="F2F2F2" w:themeFill="background1" w:themeFillShade="F2"/>
            <w:tcMar>
              <w:top w:w="0" w:type="dxa"/>
              <w:left w:w="0" w:type="dxa"/>
              <w:bottom w:w="0" w:type="dxa"/>
              <w:right w:w="0" w:type="dxa"/>
            </w:tcMar>
            <w:vAlign w:val="center"/>
          </w:tcPr>
          <w:p w14:paraId="05F4AC3D" w14:textId="0907C670" w:rsidR="00CD51C0" w:rsidRPr="003E1A4D" w:rsidRDefault="005B54E9" w:rsidP="003E1A4D">
            <w:pPr>
              <w:pStyle w:val="Mormal03CMIndent"/>
            </w:pPr>
            <w:r w:rsidRPr="003E1A4D">
              <w:t>15</w:t>
            </w:r>
            <w:r w:rsidR="00CD51C0" w:rsidRPr="003E1A4D">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10E5EA68" w:rsidR="001B20F0" w:rsidRPr="003E1A4D" w:rsidRDefault="00D91C8D" w:rsidP="003E1A4D">
            <w:pPr>
              <w:pStyle w:val="Mormal03CMIndent"/>
            </w:pPr>
            <w:r w:rsidRPr="003E1A4D">
              <w:t>Opportunities for gender-sensitive interventions</w:t>
            </w:r>
          </w:p>
        </w:tc>
        <w:tc>
          <w:tcPr>
            <w:tcW w:w="4820" w:type="dxa"/>
            <w:shd w:val="clear" w:color="auto" w:fill="FFFFFF" w:themeFill="background1"/>
            <w:tcMar>
              <w:top w:w="0" w:type="dxa"/>
              <w:left w:w="0" w:type="dxa"/>
              <w:bottom w:w="0" w:type="dxa"/>
              <w:right w:w="0" w:type="dxa"/>
            </w:tcMar>
            <w:vAlign w:val="center"/>
          </w:tcPr>
          <w:p w14:paraId="277FFFC4" w14:textId="02BA74C2" w:rsidR="001B20F0" w:rsidRPr="003E1A4D" w:rsidRDefault="00C16533" w:rsidP="003E1A4D">
            <w:pPr>
              <w:pStyle w:val="Mormal03CMIndent"/>
            </w:pPr>
            <w:r w:rsidRPr="003E1A4D">
              <w:t>Peer consulting</w:t>
            </w:r>
          </w:p>
        </w:tc>
        <w:tc>
          <w:tcPr>
            <w:tcW w:w="1414" w:type="dxa"/>
            <w:shd w:val="clear" w:color="auto" w:fill="FFFFFF" w:themeFill="background1"/>
            <w:tcMar>
              <w:top w:w="0" w:type="dxa"/>
              <w:left w:w="0" w:type="dxa"/>
              <w:bottom w:w="0" w:type="dxa"/>
              <w:right w:w="0" w:type="dxa"/>
            </w:tcMar>
            <w:vAlign w:val="center"/>
          </w:tcPr>
          <w:p w14:paraId="7483BBBF" w14:textId="7496ADD9" w:rsidR="001B20F0" w:rsidRPr="003E1A4D" w:rsidRDefault="005B54E9" w:rsidP="003E1A4D">
            <w:pPr>
              <w:pStyle w:val="Mormal03CMIndent"/>
            </w:pPr>
            <w:r w:rsidRPr="003E1A4D">
              <w:t>40</w:t>
            </w:r>
            <w:r w:rsidR="00782A35" w:rsidRPr="003E1A4D">
              <w:t xml:space="preserve"> min</w:t>
            </w:r>
          </w:p>
        </w:tc>
      </w:tr>
      <w:tr w:rsidR="000D2CCC"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73A33C45" w:rsidR="000D2CCC" w:rsidRPr="003E1A4D" w:rsidRDefault="002F58EC" w:rsidP="003E1A4D">
            <w:pPr>
              <w:pStyle w:val="Mormal03CMIndent"/>
            </w:pPr>
            <w:r w:rsidRPr="003E1A4D">
              <w:t>Session recap</w:t>
            </w:r>
          </w:p>
        </w:tc>
        <w:tc>
          <w:tcPr>
            <w:tcW w:w="4820" w:type="dxa"/>
            <w:shd w:val="clear" w:color="auto" w:fill="F2F2F2" w:themeFill="background1" w:themeFillShade="F2"/>
            <w:tcMar>
              <w:top w:w="0" w:type="dxa"/>
              <w:left w:w="0" w:type="dxa"/>
              <w:bottom w:w="0" w:type="dxa"/>
              <w:right w:w="0" w:type="dxa"/>
            </w:tcMar>
            <w:vAlign w:val="center"/>
          </w:tcPr>
          <w:p w14:paraId="1736DA11" w14:textId="6F9C844D" w:rsidR="000D2CCC" w:rsidRPr="003E1A4D" w:rsidRDefault="00BB1319" w:rsidP="003E1A4D">
            <w:pPr>
              <w:pStyle w:val="Mormal03CMIndent"/>
            </w:pPr>
            <w:r w:rsidRPr="003E1A4D">
              <w:t>Trainer input</w:t>
            </w:r>
          </w:p>
        </w:tc>
        <w:tc>
          <w:tcPr>
            <w:tcW w:w="1414" w:type="dxa"/>
            <w:shd w:val="clear" w:color="auto" w:fill="F2F2F2" w:themeFill="background1" w:themeFillShade="F2"/>
            <w:tcMar>
              <w:top w:w="0" w:type="dxa"/>
              <w:left w:w="0" w:type="dxa"/>
              <w:bottom w:w="0" w:type="dxa"/>
              <w:right w:w="0" w:type="dxa"/>
            </w:tcMar>
            <w:vAlign w:val="center"/>
          </w:tcPr>
          <w:p w14:paraId="2E586BA9" w14:textId="4E85A3D3" w:rsidR="000D2CCC" w:rsidRPr="003E1A4D" w:rsidRDefault="00B22A12" w:rsidP="003E1A4D">
            <w:pPr>
              <w:pStyle w:val="Mormal03CMIndent"/>
            </w:pPr>
            <w:r w:rsidRPr="003E1A4D">
              <w:t>5</w:t>
            </w:r>
            <w:r w:rsidR="000D2CCC" w:rsidRPr="003E1A4D">
              <w:t xml:space="preserve"> min</w:t>
            </w:r>
          </w:p>
        </w:tc>
      </w:tr>
      <w:tr w:rsidR="005B54E9" w14:paraId="529656A0" w14:textId="77777777" w:rsidTr="00EF4BE3">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70CB1542" w:rsidR="005B54E9" w:rsidRPr="003E1A4D" w:rsidRDefault="005B54E9" w:rsidP="003E1A4D">
            <w:pPr>
              <w:pStyle w:val="Mormal03CMIndent"/>
            </w:pPr>
            <w:r w:rsidRPr="003E1A4D">
              <w:t>Total</w:t>
            </w:r>
          </w:p>
        </w:tc>
        <w:tc>
          <w:tcPr>
            <w:tcW w:w="1414" w:type="dxa"/>
            <w:shd w:val="clear" w:color="auto" w:fill="FFFFFF" w:themeFill="background1"/>
            <w:tcMar>
              <w:top w:w="0" w:type="dxa"/>
              <w:left w:w="0" w:type="dxa"/>
              <w:bottom w:w="0" w:type="dxa"/>
              <w:right w:w="0" w:type="dxa"/>
            </w:tcMar>
            <w:vAlign w:val="center"/>
          </w:tcPr>
          <w:p w14:paraId="0FDDFF43" w14:textId="6C26BBE8" w:rsidR="005B54E9" w:rsidRPr="003E1A4D" w:rsidRDefault="005B54E9" w:rsidP="003E1A4D">
            <w:pPr>
              <w:pStyle w:val="Mormal03CMIndent"/>
            </w:pPr>
            <w:r w:rsidRPr="003E1A4D">
              <w:t>95 min</w:t>
            </w:r>
          </w:p>
        </w:tc>
      </w:tr>
    </w:tbl>
    <w:p w14:paraId="6F40624E" w14:textId="77777777" w:rsidR="00660577" w:rsidRPr="00F37DC5" w:rsidRDefault="00660577" w:rsidP="00F37DC5"/>
    <w:p w14:paraId="26DCE0D7" w14:textId="2DB3158A" w:rsidR="00E11AE8" w:rsidRDefault="0086548E" w:rsidP="00486E52">
      <w:pPr>
        <w:pStyle w:val="1Heading1"/>
      </w:pPr>
      <w:r w:rsidRPr="00725D5A">
        <w:lastRenderedPageBreak/>
        <w:t>Instructions for facilitator</w:t>
      </w:r>
    </w:p>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1BCA638" w:rsidR="001010FA" w:rsidRPr="00320A5A" w:rsidRDefault="003E1A4D" w:rsidP="003E1A4D">
            <w:r w:rsidRPr="00481076">
              <w:t>Welcome the participants and introduce the session objectives.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8D7E51" w:rsidR="00CE316F" w:rsidRPr="00B11BDB" w:rsidRDefault="003E1A4D"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14ADA9" w14:textId="77777777" w:rsidR="008E0AA8" w:rsidRPr="00481076" w:rsidRDefault="008E0AA8" w:rsidP="008E0AA8">
            <w:pPr>
              <w:pStyle w:val="TableSmallBlueHeading"/>
            </w:pPr>
            <w:r w:rsidRPr="00481076">
              <w:t>Relevance of gender to CPHA</w:t>
            </w:r>
          </w:p>
          <w:p w14:paraId="71B5FDEA" w14:textId="6CE9251D" w:rsidR="00E975E3" w:rsidRPr="00E975E3" w:rsidRDefault="00E975E3" w:rsidP="00E975E3">
            <w:r>
              <w:t>Explain that to begin with</w:t>
            </w:r>
            <w:r w:rsidRPr="00481076">
              <w:t>, we are going to think about why it is necessary to consider gender in CPHA programming.</w:t>
            </w:r>
          </w:p>
          <w:p w14:paraId="02D5115A" w14:textId="1E0AB925" w:rsidR="00E975E3" w:rsidRPr="00E975E3" w:rsidRDefault="00E975E3" w:rsidP="00E975E3">
            <w:r w:rsidRPr="00481076">
              <w:rPr>
                <w:b/>
              </w:rPr>
              <w:t xml:space="preserve">Instructions: </w:t>
            </w:r>
            <w:r w:rsidRPr="00481076">
              <w:t>Show slide 82.</w:t>
            </w:r>
            <w:r w:rsidRPr="00481076">
              <w:rPr>
                <w:b/>
              </w:rPr>
              <w:t xml:space="preserve"> </w:t>
            </w:r>
            <w:r w:rsidRPr="00481076">
              <w:t>Make sure everyone has a pen and paper.</w:t>
            </w:r>
            <w:r w:rsidRPr="00481076">
              <w:rPr>
                <w:b/>
              </w:rPr>
              <w:t xml:space="preserve"> </w:t>
            </w:r>
            <w:r w:rsidRPr="00481076">
              <w:t xml:space="preserve">Ask everyone to divide their paper into 4 sections. Explain that you will read out four short stories about children in humanitarian settings. As they listen to each story the participants should draw the child in one section of their paper. Encourage them not to think too much about this and just to draw the first child they picture as they hear the story, but to create a specific character. Note that there is no right or wrong answer. </w:t>
            </w:r>
          </w:p>
          <w:p w14:paraId="43076DCE" w14:textId="77777777" w:rsidR="00E975E3" w:rsidRPr="00481076" w:rsidRDefault="00E975E3" w:rsidP="00E975E3">
            <w:r w:rsidRPr="00481076">
              <w:t xml:space="preserve">Read each story, pausing briefly </w:t>
            </w:r>
            <w:r>
              <w:t>in</w:t>
            </w:r>
            <w:r w:rsidRPr="00481076">
              <w:t xml:space="preserve">-between to allow the participants to finish drawing. </w:t>
            </w:r>
          </w:p>
          <w:p w14:paraId="674A1B26" w14:textId="3316EF53" w:rsidR="00E975E3" w:rsidRPr="00E975E3" w:rsidRDefault="00E975E3" w:rsidP="00E975E3">
            <w:r w:rsidRPr="00481076">
              <w:t xml:space="preserve">*Be careful not to use any gendered pronouns in the stories.* </w:t>
            </w:r>
          </w:p>
          <w:p w14:paraId="293FD3F9" w14:textId="49EC3822" w:rsidR="00E975E3" w:rsidRPr="00481076" w:rsidRDefault="00E975E3" w:rsidP="00E975E3">
            <w:pPr>
              <w:pStyle w:val="NormalTextBulletsLevel1"/>
              <w:numPr>
                <w:ilvl w:val="0"/>
                <w:numId w:val="36"/>
              </w:numPr>
            </w:pPr>
            <w:r w:rsidRPr="00481076">
              <w:t xml:space="preserve">Child A is 14 years old and lives with their grandmother. Child A attends school and does well in all their classes. </w:t>
            </w:r>
            <w:r w:rsidRPr="00481076">
              <w:lastRenderedPageBreak/>
              <w:t>Lately Child A has noticed that their grandmother is being visited more and</w:t>
            </w:r>
            <w:r>
              <w:t xml:space="preserve"> more often by an unknown grown-up. One day</w:t>
            </w:r>
            <w:r w:rsidRPr="00481076">
              <w:t xml:space="preserve"> Child A discovers that their grandmother is arranging their</w:t>
            </w:r>
            <w:r>
              <w:t xml:space="preserve"> marriage to this unknown grown-</w:t>
            </w:r>
            <w:r w:rsidRPr="00481076">
              <w:t xml:space="preserve">up. </w:t>
            </w:r>
          </w:p>
          <w:p w14:paraId="59FBCA1D" w14:textId="5DFA0205" w:rsidR="00E975E3" w:rsidRPr="00481076" w:rsidRDefault="00E975E3" w:rsidP="00E975E3">
            <w:pPr>
              <w:pStyle w:val="NormalTextBulletsLevel1"/>
              <w:numPr>
                <w:ilvl w:val="0"/>
                <w:numId w:val="36"/>
              </w:numPr>
            </w:pPr>
            <w:r w:rsidRPr="00481076">
              <w:t>Child B is the oldest of five siblings and lives in a rural area, in a country with an internal conflict between opposing armed groups. Child B used to attend school but since their father was killed in the fighting, there has not been enough money to pay for</w:t>
            </w:r>
            <w:r>
              <w:t xml:space="preserve"> uniforms and school books. Now</w:t>
            </w:r>
            <w:r w:rsidRPr="00481076">
              <w:t xml:space="preserve"> Child B is working as a messenger for one of the armed groups. It is scary but in return, Child B’s family is safe from the group. </w:t>
            </w:r>
          </w:p>
          <w:p w14:paraId="3F0733A2" w14:textId="1082E6B6" w:rsidR="00E975E3" w:rsidRPr="00481076" w:rsidRDefault="00E975E3" w:rsidP="00E975E3">
            <w:pPr>
              <w:pStyle w:val="NormalTextBulletsLevel1"/>
              <w:numPr>
                <w:ilvl w:val="0"/>
                <w:numId w:val="36"/>
              </w:numPr>
            </w:pPr>
            <w:r w:rsidRPr="00481076">
              <w:t>Child C is 12 years old and one of three siblings. When schools were closed during the first wave of the COVID-19 pandemic, all three siblings had to stop going to school and try to learn from home. Child C did not do much school work at home and instead helped their mother with household chores and lookin</w:t>
            </w:r>
            <w:r>
              <w:t>g after the other siblings. Now</w:t>
            </w:r>
            <w:r w:rsidRPr="00481076">
              <w:t xml:space="preserve"> schools are open again but Child C has not gone back. </w:t>
            </w:r>
          </w:p>
          <w:p w14:paraId="5428092E" w14:textId="78F0E6C3" w:rsidR="00E975E3" w:rsidRPr="00481076" w:rsidRDefault="00E975E3" w:rsidP="00E975E3">
            <w:pPr>
              <w:pStyle w:val="NormalTextBulletsLevel1"/>
              <w:numPr>
                <w:ilvl w:val="0"/>
                <w:numId w:val="36"/>
              </w:numPr>
            </w:pPr>
            <w:r w:rsidRPr="00481076">
              <w:t>Child D is 15 years old and lives in a big city. Child D’s neighbourhood was recentl</w:t>
            </w:r>
            <w:r>
              <w:t>y severely affected by flooding</w:t>
            </w:r>
            <w:r w:rsidRPr="00481076">
              <w:t xml:space="preserve"> and now most children in the area are receiving support from humanitarian organisations. Child D does not have </w:t>
            </w:r>
            <w:r w:rsidRPr="00481076">
              <w:lastRenderedPageBreak/>
              <w:t>access to the same support. Child D doe</w:t>
            </w:r>
            <w:r>
              <w:t>s not feel welcome in the child-</w:t>
            </w:r>
            <w:r w:rsidRPr="00481076">
              <w:t xml:space="preserve">friendly spaces. Even when they walk past, the other children call them names and throw stones at them. </w:t>
            </w:r>
          </w:p>
          <w:p w14:paraId="396AC053" w14:textId="7C18B77F" w:rsidR="00E975E3" w:rsidRPr="00481076" w:rsidRDefault="00E975E3" w:rsidP="00E975E3">
            <w:r w:rsidRPr="00481076">
              <w:t xml:space="preserve">Ask the participants to turn to the person next to them and compare their drawings. Allow 2 minutes. </w:t>
            </w:r>
          </w:p>
          <w:p w14:paraId="5902A45C" w14:textId="1B5AEEA5" w:rsidR="00E975E3" w:rsidRPr="00481076" w:rsidRDefault="00E975E3" w:rsidP="00E975E3">
            <w:r w:rsidRPr="00481076">
              <w:t>Then ask the pairs to join another pair to create groups of four and compare again. Allow 5 minutes.</w:t>
            </w:r>
          </w:p>
          <w:p w14:paraId="5568311E" w14:textId="77777777" w:rsidR="00E975E3" w:rsidRPr="00D965ED" w:rsidRDefault="00E975E3" w:rsidP="00E975E3">
            <w:r w:rsidRPr="00481076">
              <w:t xml:space="preserve">Bring the whole group back together and ask for any </w:t>
            </w:r>
            <w:r>
              <w:t>thoughts</w:t>
            </w:r>
            <w:r w:rsidRPr="00481076">
              <w:t xml:space="preserve">. </w:t>
            </w:r>
            <w:r w:rsidRPr="00D965ED">
              <w:t>Use the prompt questions as needed:</w:t>
            </w:r>
          </w:p>
          <w:p w14:paraId="1931219E" w14:textId="77777777" w:rsidR="00E975E3" w:rsidRPr="00481076" w:rsidRDefault="00E975E3" w:rsidP="00E975E3">
            <w:pPr>
              <w:pStyle w:val="NormalTextBulletsLevel1"/>
            </w:pPr>
            <w:r w:rsidRPr="00481076">
              <w:t>How easy was it to picture the children being described?</w:t>
            </w:r>
          </w:p>
          <w:p w14:paraId="0CE37C73" w14:textId="77777777" w:rsidR="00E975E3" w:rsidRPr="00481076" w:rsidRDefault="00E975E3" w:rsidP="00E975E3">
            <w:pPr>
              <w:pStyle w:val="NormalTextBulletsLevel1"/>
            </w:pPr>
            <w:r w:rsidRPr="00481076">
              <w:t>What assumptions did you make?</w:t>
            </w:r>
          </w:p>
          <w:p w14:paraId="7B006523" w14:textId="7F4C8C8C" w:rsidR="00E975E3" w:rsidRPr="00F03269" w:rsidRDefault="00E975E3" w:rsidP="00F03269">
            <w:pPr>
              <w:pStyle w:val="NormalTextBulletsLevel1"/>
            </w:pPr>
            <w:r w:rsidRPr="00481076">
              <w:t>What similarities and differences were there in the drawings in your group?</w:t>
            </w:r>
          </w:p>
          <w:p w14:paraId="5D10511F" w14:textId="5327228A" w:rsidR="00E975E3" w:rsidRPr="00E975E3" w:rsidRDefault="00E975E3" w:rsidP="00E975E3">
            <w:r w:rsidRPr="00481076">
              <w:t xml:space="preserve">If it has not come up, recap each scenario and ask what gender of child the participants drew. </w:t>
            </w:r>
          </w:p>
          <w:p w14:paraId="18BF7224" w14:textId="2D9F4E7E" w:rsidR="00E975E3" w:rsidRPr="00481076" w:rsidRDefault="00E975E3" w:rsidP="00E975E3">
            <w:r w:rsidRPr="00481076">
              <w:rPr>
                <w:b/>
              </w:rPr>
              <w:t xml:space="preserve">Explain: </w:t>
            </w:r>
            <w:r w:rsidRPr="00481076">
              <w:t xml:space="preserve">Gender plays a critical role in how children are treated and how their rights are respected within families and communities. </w:t>
            </w:r>
            <w:r>
              <w:t xml:space="preserve">The </w:t>
            </w:r>
            <w:r w:rsidRPr="00481076">
              <w:t>gender norms</w:t>
            </w:r>
            <w:r>
              <w:t xml:space="preserve"> of societies</w:t>
            </w:r>
            <w:r w:rsidRPr="00481076">
              <w:t xml:space="preserve"> influence girls’ and boys’ different experiences, potential and risks. These ‘gendered norms’ also affect children with non-binary gender identity or sex characteristics, such as those who identify as lesbian, gay, bisexual or transgender or who are intersex. Pre-existing gender inequalities tend to increase during </w:t>
            </w:r>
            <w:r w:rsidRPr="00481076">
              <w:lastRenderedPageBreak/>
              <w:t xml:space="preserve">a humanitarian crisis. For example, girls may face </w:t>
            </w:r>
            <w:r>
              <w:t>greater risks of child marriage</w:t>
            </w:r>
            <w:r w:rsidRPr="00481076">
              <w:t xml:space="preserve"> and boys may be more vulnerable to forced recruitment. Transgender children may be at a greater risk of prejudice, stigma, violence and/or</w:t>
            </w:r>
            <w:r>
              <w:t xml:space="preserve"> face</w:t>
            </w:r>
            <w:r w:rsidRPr="00481076">
              <w:t xml:space="preserve"> difficulties accessing humanitarian services. They may also lack the support of their families.</w:t>
            </w:r>
          </w:p>
          <w:p w14:paraId="038A9969" w14:textId="77777777" w:rsidR="00E975E3" w:rsidRPr="00481076" w:rsidRDefault="00E975E3" w:rsidP="00E975E3">
            <w:r w:rsidRPr="00481076">
              <w:t>Take as many examples as possible from participants and explain that gender and other factors impact how children experience events as well as how they interpret them.</w:t>
            </w:r>
          </w:p>
          <w:p w14:paraId="6FCE0D04" w14:textId="39825AE8" w:rsidR="00E975E3" w:rsidRPr="00481076" w:rsidRDefault="00E975E3" w:rsidP="00E975E3">
            <w:r w:rsidRPr="00481076">
              <w:t>For instance, findings from a study in Gaza suggest</w:t>
            </w:r>
            <w:r>
              <w:t xml:space="preserve"> that parents in </w:t>
            </w:r>
            <w:r w:rsidRPr="00481076">
              <w:t>situations</w:t>
            </w:r>
            <w:r>
              <w:t xml:space="preserve"> facing extreme threats</w:t>
            </w:r>
            <w:r w:rsidRPr="00481076">
              <w:t xml:space="preserve"> tended to protect and restrict girls whereas they tolerated or encouraged boys to actively participate in the conflict, resulting in different exposure to risk factors and harmful outcomes as a function of gender, even within the same household.</w:t>
            </w:r>
            <w:r>
              <w:rPr>
                <w:vertAlign w:val="superscript"/>
              </w:rPr>
              <w:footnoteReference w:id="1"/>
            </w:r>
          </w:p>
          <w:p w14:paraId="0D565DFE" w14:textId="138BC911" w:rsidR="00E975E3" w:rsidRPr="00481076" w:rsidRDefault="00E975E3" w:rsidP="00E975E3">
            <w:r w:rsidRPr="00481076">
              <w:t>Similarly, in studies related to Children Associated with Armed Forces and Groups (CAAFAG), it was found that females experienced higher levels of Sexual and Gender-Based Violence (SGBV).</w:t>
            </w:r>
            <w:r>
              <w:rPr>
                <w:vertAlign w:val="superscript"/>
              </w:rPr>
              <w:footnoteReference w:id="2"/>
            </w:r>
          </w:p>
          <w:p w14:paraId="22CB2185" w14:textId="1E407EB0" w:rsidR="00E975E3" w:rsidRPr="00481076" w:rsidRDefault="00E975E3" w:rsidP="00E975E3">
            <w:r w:rsidRPr="00481076">
              <w:lastRenderedPageBreak/>
              <w:t>Generally, females experience greater risk of Sexual and Gender-Based Violence in political conf</w:t>
            </w:r>
            <w:r>
              <w:t>licts or war, whereas males are at</w:t>
            </w:r>
            <w:r w:rsidRPr="00481076">
              <w:t xml:space="preserve"> greater risk for exposure to nonsexual violence in armed conflict.</w:t>
            </w:r>
          </w:p>
          <w:p w14:paraId="7A559577" w14:textId="1F980E49" w:rsidR="00B24F0E" w:rsidRPr="00E975E3" w:rsidRDefault="00E975E3" w:rsidP="00E975E3">
            <w:pPr>
              <w:rPr>
                <w:rStyle w:val="Emphasis"/>
                <w:rFonts w:ascii="Arial" w:eastAsia="Arial" w:hAnsi="Arial" w:cs="Arial"/>
                <w:i w:val="0"/>
                <w:iCs w:val="0"/>
              </w:rPr>
            </w:pPr>
            <w:r w:rsidRPr="00481076">
              <w:t xml:space="preserve">Transgender children may avoid seeking help out of fear of further discrimination or harm. They are at greater risk of pathologisation - a process where others </w:t>
            </w:r>
            <w:r>
              <w:t>assume gender identity caused a</w:t>
            </w:r>
            <w:r w:rsidRPr="00481076">
              <w:t xml:space="preserve"> mental illness.</w:t>
            </w:r>
            <w:r>
              <w:rPr>
                <w:vertAlign w:val="superscript"/>
              </w:rPr>
              <w:footnoteReference w:id="3"/>
            </w:r>
            <w:r w:rsidRPr="00481076">
              <w:t xml:space="preserve">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3A92D51" w14:textId="77777777" w:rsidR="00D71606" w:rsidRDefault="00D71606" w:rsidP="000656BC">
            <w:pPr>
              <w:pStyle w:val="TableSmallBlueHeading"/>
            </w:pPr>
          </w:p>
          <w:p w14:paraId="269B7A33" w14:textId="77777777" w:rsidR="00C52CF0" w:rsidRDefault="00C52CF0" w:rsidP="000656BC">
            <w:pPr>
              <w:pStyle w:val="TableSmallBlueHeading"/>
            </w:pPr>
          </w:p>
          <w:p w14:paraId="16F04B2A" w14:textId="77777777" w:rsidR="00C52CF0" w:rsidRDefault="00C52CF0" w:rsidP="000656BC">
            <w:pPr>
              <w:pStyle w:val="TableSmallBlueHeading"/>
            </w:pPr>
          </w:p>
          <w:p w14:paraId="25735CF1" w14:textId="77777777" w:rsidR="00C52CF0" w:rsidRDefault="00C52CF0" w:rsidP="000656BC">
            <w:pPr>
              <w:pStyle w:val="TableSmallBlueHeading"/>
            </w:pPr>
          </w:p>
          <w:p w14:paraId="71BF222B" w14:textId="77777777" w:rsidR="00C52CF0" w:rsidRDefault="00C52CF0" w:rsidP="000656BC">
            <w:pPr>
              <w:pStyle w:val="TableSmallBlueHeading"/>
            </w:pPr>
          </w:p>
          <w:p w14:paraId="75C2B29C" w14:textId="77777777" w:rsidR="00D71606" w:rsidRDefault="00D71606" w:rsidP="00835DF6"/>
          <w:p w14:paraId="087F1351" w14:textId="77777777" w:rsidR="00835DF6" w:rsidRPr="00481076" w:rsidRDefault="00835DF6" w:rsidP="00835DF6">
            <w:r w:rsidRPr="00481076">
              <w:t xml:space="preserve">Run the first part of the activity as written, with participants drawing pictures with pen and paper. </w:t>
            </w:r>
          </w:p>
          <w:p w14:paraId="602C16D7" w14:textId="77777777" w:rsidR="00D71606" w:rsidRDefault="00D71606" w:rsidP="00835DF6"/>
          <w:p w14:paraId="26670C44" w14:textId="77777777" w:rsidR="00D71606" w:rsidRDefault="00D71606" w:rsidP="000656BC">
            <w:pPr>
              <w:pStyle w:val="TableSmallBlueHeading"/>
            </w:pPr>
          </w:p>
          <w:p w14:paraId="6B4670E8" w14:textId="77777777" w:rsidR="00D861D1" w:rsidRDefault="00D861D1" w:rsidP="000656BC">
            <w:pPr>
              <w:pStyle w:val="TableSmallBlueHeading"/>
            </w:pPr>
          </w:p>
          <w:p w14:paraId="5B8A2212" w14:textId="77777777" w:rsidR="00D861D1" w:rsidRDefault="00D861D1" w:rsidP="000656BC">
            <w:pPr>
              <w:pStyle w:val="TableSmallBlueHeading"/>
            </w:pPr>
          </w:p>
          <w:p w14:paraId="7A006769" w14:textId="77777777" w:rsidR="00D861D1" w:rsidRDefault="00D861D1" w:rsidP="000656BC">
            <w:pPr>
              <w:pStyle w:val="TableSmallBlueHeading"/>
            </w:pPr>
          </w:p>
          <w:p w14:paraId="28C2A803" w14:textId="77777777" w:rsidR="00D861D1" w:rsidRDefault="00D861D1" w:rsidP="000656BC">
            <w:pPr>
              <w:pStyle w:val="TableSmallBlueHeading"/>
            </w:pPr>
          </w:p>
          <w:p w14:paraId="765C0971" w14:textId="77777777" w:rsidR="00D861D1" w:rsidRDefault="00D861D1" w:rsidP="000656BC">
            <w:pPr>
              <w:pStyle w:val="TableSmallBlueHeading"/>
            </w:pPr>
          </w:p>
          <w:p w14:paraId="7CC045B9" w14:textId="77777777" w:rsidR="00D861D1" w:rsidRDefault="00D861D1" w:rsidP="000656BC">
            <w:pPr>
              <w:pStyle w:val="TableSmallBlueHeading"/>
            </w:pPr>
          </w:p>
          <w:p w14:paraId="61F4F5F7" w14:textId="77777777" w:rsidR="00D861D1" w:rsidRDefault="00D861D1" w:rsidP="000656BC">
            <w:pPr>
              <w:pStyle w:val="TableSmallBlueHeading"/>
            </w:pPr>
          </w:p>
          <w:p w14:paraId="742BABB4" w14:textId="77777777" w:rsidR="00D861D1" w:rsidRDefault="00D861D1" w:rsidP="000656BC">
            <w:pPr>
              <w:pStyle w:val="TableSmallBlueHeading"/>
            </w:pPr>
          </w:p>
          <w:p w14:paraId="6DE2AB16" w14:textId="77777777" w:rsidR="00D861D1" w:rsidRDefault="00D861D1" w:rsidP="000656BC">
            <w:pPr>
              <w:pStyle w:val="TableSmallBlueHeading"/>
            </w:pPr>
          </w:p>
          <w:p w14:paraId="0EBE9781" w14:textId="77777777" w:rsidR="00D861D1" w:rsidRDefault="00D861D1" w:rsidP="000656BC">
            <w:pPr>
              <w:pStyle w:val="TableSmallBlueHeading"/>
            </w:pPr>
          </w:p>
          <w:p w14:paraId="2A1D65FE" w14:textId="77777777" w:rsidR="00D861D1" w:rsidRDefault="00D861D1" w:rsidP="000656BC">
            <w:pPr>
              <w:pStyle w:val="TableSmallBlueHeading"/>
            </w:pPr>
          </w:p>
          <w:p w14:paraId="29B26790" w14:textId="77777777" w:rsidR="00D861D1" w:rsidRDefault="00D861D1" w:rsidP="000656BC">
            <w:pPr>
              <w:pStyle w:val="TableSmallBlueHeading"/>
            </w:pPr>
          </w:p>
          <w:p w14:paraId="5E8524A8" w14:textId="77777777" w:rsidR="00D861D1" w:rsidRDefault="00D861D1" w:rsidP="000656BC">
            <w:pPr>
              <w:pStyle w:val="TableSmallBlueHeading"/>
            </w:pPr>
          </w:p>
          <w:p w14:paraId="7FB9D83C" w14:textId="77777777" w:rsidR="00D861D1" w:rsidRDefault="00D861D1" w:rsidP="000656BC">
            <w:pPr>
              <w:pStyle w:val="TableSmallBlueHeading"/>
            </w:pPr>
          </w:p>
          <w:p w14:paraId="4090F4DB" w14:textId="77777777" w:rsidR="00500E7E" w:rsidRDefault="00500E7E" w:rsidP="000656BC">
            <w:pPr>
              <w:pStyle w:val="TableSmallBlueHeading"/>
            </w:pPr>
          </w:p>
          <w:p w14:paraId="05A6BB1C" w14:textId="77777777" w:rsidR="00500E7E" w:rsidRDefault="00500E7E" w:rsidP="000656BC">
            <w:pPr>
              <w:pStyle w:val="TableSmallBlueHeading"/>
            </w:pPr>
          </w:p>
          <w:p w14:paraId="7C7B95CA" w14:textId="77777777" w:rsidR="00500E7E" w:rsidRDefault="00500E7E" w:rsidP="000656BC">
            <w:pPr>
              <w:pStyle w:val="TableSmallBlueHeading"/>
            </w:pPr>
          </w:p>
          <w:p w14:paraId="07C4010A" w14:textId="77777777" w:rsidR="00500E7E" w:rsidRDefault="00500E7E" w:rsidP="000656BC">
            <w:pPr>
              <w:pStyle w:val="TableSmallBlueHeading"/>
            </w:pPr>
          </w:p>
          <w:p w14:paraId="19B4D998" w14:textId="77777777" w:rsidR="00500E7E" w:rsidRDefault="00500E7E" w:rsidP="000656BC">
            <w:pPr>
              <w:pStyle w:val="TableSmallBlueHeading"/>
            </w:pPr>
          </w:p>
          <w:p w14:paraId="5665854F" w14:textId="77777777" w:rsidR="00500E7E" w:rsidRDefault="00500E7E" w:rsidP="000656BC">
            <w:pPr>
              <w:pStyle w:val="TableSmallBlueHeading"/>
            </w:pPr>
          </w:p>
          <w:p w14:paraId="211CFCF0" w14:textId="77777777" w:rsidR="00500E7E" w:rsidRDefault="00500E7E" w:rsidP="000656BC">
            <w:pPr>
              <w:pStyle w:val="TableSmallBlueHeading"/>
            </w:pPr>
          </w:p>
          <w:p w14:paraId="1F6AC318" w14:textId="77777777" w:rsidR="00500E7E" w:rsidRDefault="00500E7E" w:rsidP="000656BC">
            <w:pPr>
              <w:pStyle w:val="TableSmallBlueHeading"/>
            </w:pPr>
          </w:p>
          <w:p w14:paraId="593F56BA" w14:textId="77777777" w:rsidR="00500E7E" w:rsidRDefault="00500E7E" w:rsidP="000656BC">
            <w:pPr>
              <w:pStyle w:val="TableSmallBlueHeading"/>
            </w:pPr>
          </w:p>
          <w:p w14:paraId="03BE8703" w14:textId="77777777" w:rsidR="00500E7E" w:rsidRDefault="00500E7E" w:rsidP="000656BC">
            <w:pPr>
              <w:pStyle w:val="TableSmallBlueHeading"/>
            </w:pPr>
          </w:p>
          <w:p w14:paraId="6ACFB3E5" w14:textId="77777777" w:rsidR="007F494F" w:rsidRDefault="007F494F" w:rsidP="00B24F0E"/>
          <w:p w14:paraId="78B6D60E" w14:textId="77777777" w:rsidR="00D861D1" w:rsidRPr="00481076" w:rsidRDefault="00D861D1" w:rsidP="00500E7E">
            <w:r w:rsidRPr="00481076">
              <w:t>Explain th</w:t>
            </w:r>
            <w:r>
              <w:t>at discussions will be in pairs</w:t>
            </w:r>
            <w:r w:rsidRPr="00481076">
              <w:t xml:space="preserve"> and then breakouts will be merged after a couple of minu</w:t>
            </w:r>
            <w:r>
              <w:t>tes and the pairs should discuss</w:t>
            </w:r>
            <w:r w:rsidRPr="00481076">
              <w:t xml:space="preserve"> in a group of 4. </w:t>
            </w:r>
          </w:p>
          <w:p w14:paraId="193EE0A8" w14:textId="77777777" w:rsidR="00D861D1" w:rsidRPr="00481076" w:rsidRDefault="00D861D1" w:rsidP="00500E7E"/>
          <w:p w14:paraId="7067AC8C" w14:textId="1C3D5364" w:rsidR="007F494F" w:rsidRPr="00C36BCB" w:rsidRDefault="00D861D1" w:rsidP="00500E7E">
            <w:r w:rsidRPr="00481076">
              <w:t xml:space="preserve">Launch breakout rooms of pairs. Time 2-3 minutes, then combine breakouts to make groups of 5. </w:t>
            </w:r>
            <w:r>
              <w:t>Time 5 minutes then close the breakout rooms.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4FDBFBAF" w:rsidR="00CE316F" w:rsidRPr="002E60DE" w:rsidRDefault="001F0DDE" w:rsidP="00486E52">
            <w:pPr>
              <w:rPr>
                <w:rStyle w:val="Emphasis"/>
                <w:i w:val="0"/>
                <w:iCs w:val="0"/>
              </w:rPr>
            </w:pPr>
            <w:r>
              <w:rPr>
                <w:rStyle w:val="Emphasis"/>
                <w:i w:val="0"/>
                <w:iCs w:val="0"/>
              </w:rPr>
              <w:t>3</w:t>
            </w:r>
            <w:r w:rsidR="00F1139F">
              <w:rPr>
                <w:rStyle w:val="Emphasis"/>
                <w:i w:val="0"/>
                <w:iCs w:val="0"/>
              </w:rPr>
              <w:t>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B9102A" w14:textId="77777777" w:rsidR="00F84DC6" w:rsidRPr="00481076" w:rsidRDefault="00F84DC6" w:rsidP="00F84DC6">
            <w:pPr>
              <w:pStyle w:val="TableSmallBlueHeading"/>
            </w:pPr>
            <w:r w:rsidRPr="00481076">
              <w:lastRenderedPageBreak/>
              <w:t>Current challenges in our own work</w:t>
            </w:r>
          </w:p>
          <w:p w14:paraId="201C1F4B" w14:textId="77777777" w:rsidR="0007041E" w:rsidRPr="00846588" w:rsidRDefault="0007041E" w:rsidP="00846588">
            <w:r w:rsidRPr="00846588">
              <w:t xml:space="preserve">Show slide 83 and </w:t>
            </w:r>
            <w:r w:rsidRPr="00846588">
              <w:rPr>
                <w:b/>
              </w:rPr>
              <w:t xml:space="preserve">explain </w:t>
            </w:r>
            <w:r w:rsidRPr="00846588">
              <w:t>that analyses of children’s risks and resilience related to gender should be conducted throughout the programme cycle. Gender also impacts family dynamics and care arrangements for children. Interventions should:</w:t>
            </w:r>
          </w:p>
          <w:p w14:paraId="71E949D3" w14:textId="77777777" w:rsidR="0007041E" w:rsidRPr="00846588" w:rsidRDefault="0007041E" w:rsidP="00846588">
            <w:pPr>
              <w:pStyle w:val="NormalTextBulletsLevel2"/>
            </w:pPr>
            <w:r w:rsidRPr="00846588">
              <w:t>Be sensitive to the root causes of gender discrimination and inequality</w:t>
            </w:r>
          </w:p>
          <w:p w14:paraId="1DC20BBB" w14:textId="77777777" w:rsidR="0007041E" w:rsidRPr="00846588" w:rsidRDefault="0007041E" w:rsidP="00846588">
            <w:pPr>
              <w:pStyle w:val="NormalTextBulletsLevel2"/>
            </w:pPr>
            <w:r w:rsidRPr="00846588">
              <w:t>Avoid reinforcing or continuing gendered power relations</w:t>
            </w:r>
          </w:p>
          <w:p w14:paraId="5A9211E6" w14:textId="7716B562" w:rsidR="0007041E" w:rsidRPr="00846588" w:rsidRDefault="0007041E" w:rsidP="00846588">
            <w:pPr>
              <w:pStyle w:val="NormalTextBulletsLevel2"/>
            </w:pPr>
            <w:r w:rsidRPr="00846588">
              <w:t>Support gender equality whenever possible.</w:t>
            </w:r>
          </w:p>
          <w:p w14:paraId="261E1CE1" w14:textId="4FC1EE04" w:rsidR="0007041E" w:rsidRPr="0007041E" w:rsidRDefault="0007041E" w:rsidP="00846588">
            <w:r w:rsidRPr="0007041E">
              <w:rPr>
                <w:b/>
              </w:rPr>
              <w:t xml:space="preserve">Instructions: </w:t>
            </w:r>
            <w:r w:rsidRPr="0007041E">
              <w:t xml:space="preserve">show slide 84 and organise the participants into pairs. It may be helpful to work with colleagues from the same </w:t>
            </w:r>
            <w:r w:rsidRPr="0007041E">
              <w:lastRenderedPageBreak/>
              <w:t xml:space="preserve">organisation for this activity, so offer this option if applicable to the group. Otherwise, arrange randomly into pairs. </w:t>
            </w:r>
          </w:p>
          <w:p w14:paraId="6DFE09CD" w14:textId="187A3F66" w:rsidR="0007041E" w:rsidRPr="0007041E" w:rsidRDefault="0007041E" w:rsidP="00846588">
            <w:r w:rsidRPr="0007041E">
              <w:t xml:space="preserve">Explain that for the next 15 minutes the participants should discuss with their partner what challenges they face in relation to making their CPHA interventions gender-sensitive. What obstacles do they face? What is complex or difficult? </w:t>
            </w:r>
          </w:p>
          <w:p w14:paraId="15BDBB41" w14:textId="0EAE4113" w:rsidR="0007041E" w:rsidRPr="0007041E" w:rsidRDefault="0007041E" w:rsidP="00846588">
            <w:r w:rsidRPr="0007041E">
              <w:t>Remind them not to discuss solutions at this stage, but to make a note of the challenges related to supporting gender equality and gender-sensitive programming, and identify their one most important challenge. (Note, if working in an organisational pair this should be one shared priority. If working in random pairs, each member of the pair may have a different priority.)</w:t>
            </w:r>
          </w:p>
          <w:p w14:paraId="31563A56" w14:textId="347C4D86" w:rsidR="002E1191" w:rsidRPr="0007041E" w:rsidRDefault="0007041E" w:rsidP="00846588">
            <w:pPr>
              <w:rPr>
                <w:highlight w:val="white"/>
              </w:rPr>
            </w:pPr>
            <w:r w:rsidRPr="0007041E">
              <w:t xml:space="preserve">Circulate between the groups to observe and support as required.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4DEF4FF0" w14:textId="77777777" w:rsidR="00780F08" w:rsidRDefault="00780F08" w:rsidP="00780F08">
            <w:pPr>
              <w:jc w:val="both"/>
              <w:rPr>
                <w:rFonts w:ascii="Arial" w:eastAsia="Arial" w:hAnsi="Arial" w:cs="Arial"/>
              </w:rPr>
            </w:pPr>
          </w:p>
          <w:p w14:paraId="0D6BEB29" w14:textId="77777777" w:rsidR="00780F08" w:rsidRDefault="00780F08" w:rsidP="00780F08">
            <w:pPr>
              <w:jc w:val="both"/>
              <w:rPr>
                <w:rFonts w:ascii="Arial" w:eastAsia="Arial" w:hAnsi="Arial" w:cs="Arial"/>
              </w:rPr>
            </w:pPr>
          </w:p>
          <w:p w14:paraId="7CD4E4BA" w14:textId="77777777" w:rsidR="003E6E63" w:rsidRDefault="003E6E63" w:rsidP="00780F08">
            <w:pPr>
              <w:jc w:val="both"/>
              <w:rPr>
                <w:rFonts w:ascii="Arial" w:eastAsia="Arial" w:hAnsi="Arial" w:cs="Arial"/>
              </w:rPr>
            </w:pPr>
          </w:p>
          <w:p w14:paraId="55E0615E" w14:textId="77777777" w:rsidR="003E6E63" w:rsidRDefault="003E6E63" w:rsidP="00780F08">
            <w:pPr>
              <w:jc w:val="both"/>
              <w:rPr>
                <w:rFonts w:ascii="Arial" w:eastAsia="Arial" w:hAnsi="Arial" w:cs="Arial"/>
              </w:rPr>
            </w:pPr>
          </w:p>
          <w:p w14:paraId="68FC4389" w14:textId="77777777" w:rsidR="003E6E63" w:rsidRDefault="003E6E63" w:rsidP="00780F08">
            <w:pPr>
              <w:jc w:val="both"/>
              <w:rPr>
                <w:rFonts w:ascii="Arial" w:eastAsia="Arial" w:hAnsi="Arial" w:cs="Arial"/>
              </w:rPr>
            </w:pPr>
          </w:p>
          <w:p w14:paraId="152353F9" w14:textId="77777777" w:rsidR="003E6E63" w:rsidRDefault="003E6E63" w:rsidP="00780F08">
            <w:pPr>
              <w:jc w:val="both"/>
              <w:rPr>
                <w:rFonts w:ascii="Arial" w:eastAsia="Arial" w:hAnsi="Arial" w:cs="Arial"/>
              </w:rPr>
            </w:pPr>
          </w:p>
          <w:p w14:paraId="0523E9BB" w14:textId="77777777" w:rsidR="003E6E63" w:rsidRDefault="003E6E63" w:rsidP="00780F08">
            <w:pPr>
              <w:jc w:val="both"/>
              <w:rPr>
                <w:rFonts w:ascii="Arial" w:eastAsia="Arial" w:hAnsi="Arial" w:cs="Arial"/>
              </w:rPr>
            </w:pPr>
          </w:p>
          <w:p w14:paraId="6627A43D" w14:textId="77777777" w:rsidR="003E6E63" w:rsidRDefault="003E6E63" w:rsidP="00780F08">
            <w:pPr>
              <w:jc w:val="both"/>
              <w:rPr>
                <w:rFonts w:ascii="Arial" w:eastAsia="Arial" w:hAnsi="Arial" w:cs="Arial"/>
              </w:rPr>
            </w:pPr>
          </w:p>
          <w:p w14:paraId="0E9251E7" w14:textId="77777777" w:rsidR="003E6E63" w:rsidRDefault="003E6E63" w:rsidP="00780F08">
            <w:pPr>
              <w:jc w:val="both"/>
              <w:rPr>
                <w:rFonts w:ascii="Arial" w:eastAsia="Arial" w:hAnsi="Arial" w:cs="Arial"/>
              </w:rPr>
            </w:pPr>
          </w:p>
          <w:p w14:paraId="68AD4717" w14:textId="77777777" w:rsidR="003E6E63" w:rsidRDefault="003E6E63" w:rsidP="00780F08">
            <w:pPr>
              <w:jc w:val="both"/>
              <w:rPr>
                <w:rFonts w:ascii="Arial" w:eastAsia="Arial" w:hAnsi="Arial" w:cs="Arial"/>
              </w:rPr>
            </w:pPr>
          </w:p>
          <w:p w14:paraId="776589C8" w14:textId="77777777" w:rsidR="003E6E63" w:rsidRDefault="003E6E63" w:rsidP="00780F08">
            <w:pPr>
              <w:jc w:val="both"/>
              <w:rPr>
                <w:rFonts w:ascii="Arial" w:eastAsia="Arial" w:hAnsi="Arial" w:cs="Arial"/>
              </w:rPr>
            </w:pPr>
          </w:p>
          <w:p w14:paraId="46355591" w14:textId="77777777" w:rsidR="003E6E63" w:rsidRDefault="003E6E63" w:rsidP="00780F08">
            <w:pPr>
              <w:jc w:val="both"/>
              <w:rPr>
                <w:rFonts w:ascii="Arial" w:eastAsia="Arial" w:hAnsi="Arial" w:cs="Arial"/>
              </w:rPr>
            </w:pPr>
          </w:p>
          <w:p w14:paraId="05EC9C3D" w14:textId="77777777" w:rsidR="003E6E63" w:rsidRDefault="003E6E63" w:rsidP="00780F08">
            <w:pPr>
              <w:jc w:val="both"/>
              <w:rPr>
                <w:rFonts w:ascii="Arial" w:eastAsia="Arial" w:hAnsi="Arial" w:cs="Arial"/>
              </w:rPr>
            </w:pPr>
          </w:p>
          <w:p w14:paraId="687846D4" w14:textId="77777777" w:rsidR="003E6E63" w:rsidRDefault="003E6E63" w:rsidP="00780F08">
            <w:pPr>
              <w:jc w:val="both"/>
              <w:rPr>
                <w:rFonts w:ascii="Arial" w:eastAsia="Arial" w:hAnsi="Arial" w:cs="Arial"/>
              </w:rPr>
            </w:pPr>
          </w:p>
          <w:p w14:paraId="264D1B39" w14:textId="77777777" w:rsidR="003E6E63" w:rsidRDefault="003E6E63" w:rsidP="00780F08">
            <w:pPr>
              <w:jc w:val="both"/>
              <w:rPr>
                <w:rFonts w:ascii="Arial" w:eastAsia="Arial" w:hAnsi="Arial" w:cs="Arial"/>
              </w:rPr>
            </w:pPr>
          </w:p>
          <w:p w14:paraId="41414A2A" w14:textId="77777777" w:rsidR="003E6E63" w:rsidRDefault="003E6E63" w:rsidP="00780F08">
            <w:pPr>
              <w:jc w:val="both"/>
              <w:rPr>
                <w:rFonts w:ascii="Arial" w:eastAsia="Arial" w:hAnsi="Arial" w:cs="Arial"/>
              </w:rPr>
            </w:pPr>
          </w:p>
          <w:p w14:paraId="6D31A9B8" w14:textId="77777777" w:rsidR="003E6E63" w:rsidRDefault="003E6E63" w:rsidP="00780F08">
            <w:pPr>
              <w:jc w:val="both"/>
              <w:rPr>
                <w:rFonts w:ascii="Arial" w:eastAsia="Arial" w:hAnsi="Arial" w:cs="Arial"/>
              </w:rPr>
            </w:pPr>
          </w:p>
          <w:p w14:paraId="05C22E56" w14:textId="00C6FF02" w:rsidR="00780F08" w:rsidRPr="00481076" w:rsidRDefault="00780F08" w:rsidP="003E6E63">
            <w:r w:rsidRPr="00481076">
              <w:t xml:space="preserve">Prepare breakout rooms of pairs, either randomly, or with colleagues from the same organisation. </w:t>
            </w:r>
          </w:p>
          <w:p w14:paraId="380A87A9" w14:textId="77777777" w:rsidR="00D77A08" w:rsidRPr="00B75A0B" w:rsidRDefault="00D77A08" w:rsidP="00D77A08"/>
          <w:p w14:paraId="5408B7B4" w14:textId="287BDECB" w:rsidR="000A65FE" w:rsidRDefault="000A65FE" w:rsidP="00780F0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3742EACA" w:rsidR="000A56B1" w:rsidRPr="000656BC" w:rsidRDefault="00212AE6" w:rsidP="00486E52">
            <w:pPr>
              <w:rPr>
                <w:rStyle w:val="Emphasis"/>
                <w:i w:val="0"/>
                <w:iCs w:val="0"/>
              </w:rPr>
            </w:pPr>
            <w:r>
              <w:t>15</w:t>
            </w:r>
            <w:r w:rsidR="004E5ADD" w:rsidRPr="00D9248C">
              <w:t xml:space="preserve"> min</w:t>
            </w:r>
          </w:p>
        </w:tc>
      </w:tr>
      <w:tr w:rsidR="00573F2E"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A6F3B" w14:textId="77777777" w:rsidR="00A154D7" w:rsidRPr="00481076" w:rsidRDefault="00A154D7" w:rsidP="00A154D7">
            <w:pPr>
              <w:pStyle w:val="TableSmallBlueHeading"/>
            </w:pPr>
            <w:r w:rsidRPr="00481076">
              <w:t>Opportunities for gender-sensitive interventions</w:t>
            </w:r>
          </w:p>
          <w:p w14:paraId="0316572E" w14:textId="7BBD27D6" w:rsidR="00953113" w:rsidRDefault="00953113" w:rsidP="00953113">
            <w:r w:rsidRPr="00481076">
              <w:t>Bring the group back together and explain th</w:t>
            </w:r>
            <w:r>
              <w:t>at for the rest of this session</w:t>
            </w:r>
            <w:r w:rsidRPr="00481076">
              <w:t xml:space="preserve"> we are going to think about potential solutions, using a peer consulting methodology. </w:t>
            </w:r>
          </w:p>
          <w:p w14:paraId="5F723161" w14:textId="77777777" w:rsidR="00F1549A" w:rsidRPr="00481076" w:rsidRDefault="00F1549A" w:rsidP="00953113"/>
          <w:p w14:paraId="32C90063" w14:textId="7E60E354" w:rsidR="00F1549A" w:rsidRPr="00D965ED" w:rsidRDefault="00953113" w:rsidP="00953113">
            <w:r w:rsidRPr="00481076">
              <w:rPr>
                <w:b/>
              </w:rPr>
              <w:t xml:space="preserve">Instructions: </w:t>
            </w:r>
            <w:r w:rsidRPr="00481076">
              <w:t>show slide 85 and explain how the activity works. One participant will be the ‘client’. They will read their top</w:t>
            </w:r>
            <w:r>
              <w:t xml:space="preserve"> challenge to </w:t>
            </w:r>
            <w:r>
              <w:lastRenderedPageBreak/>
              <w:t>the plenary. Then</w:t>
            </w:r>
            <w:r w:rsidRPr="00481076">
              <w:t xml:space="preserve"> each remaining participant will respond with one sentence. </w:t>
            </w:r>
            <w:r w:rsidRPr="00D965ED">
              <w:t>This can be:</w:t>
            </w:r>
          </w:p>
          <w:p w14:paraId="2ABEAA30" w14:textId="77777777" w:rsidR="00953113" w:rsidRDefault="00953113" w:rsidP="00953113">
            <w:pPr>
              <w:pStyle w:val="NormalTextBulletsLevel1"/>
            </w:pPr>
            <w:r>
              <w:t>A suggested action</w:t>
            </w:r>
          </w:p>
          <w:p w14:paraId="6F93AFAB" w14:textId="77777777" w:rsidR="00953113" w:rsidRPr="00481076" w:rsidRDefault="00953113" w:rsidP="00953113">
            <w:pPr>
              <w:pStyle w:val="NormalTextBulletsLevel1"/>
            </w:pPr>
            <w:r w:rsidRPr="00481076">
              <w:t>A question to further the client’s thinking</w:t>
            </w:r>
          </w:p>
          <w:p w14:paraId="65F95097" w14:textId="625AB8AD" w:rsidR="00953113" w:rsidRPr="00BD7187" w:rsidRDefault="00953113" w:rsidP="00BD7187">
            <w:pPr>
              <w:pStyle w:val="NormalTextBulletsLevel1"/>
            </w:pPr>
            <w:r w:rsidRPr="00481076">
              <w:t>A source of further support or a resource</w:t>
            </w:r>
          </w:p>
          <w:p w14:paraId="1082CBF6" w14:textId="6FF990EA" w:rsidR="00953113" w:rsidRPr="00481076" w:rsidRDefault="00953113" w:rsidP="00953113">
            <w:r w:rsidRPr="00481076">
              <w:t>The client’s role is to listen to the suggestions and note down those which resonate wit</w:t>
            </w:r>
            <w:r>
              <w:t>h them. They should not respond</w:t>
            </w:r>
            <w:r w:rsidRPr="00481076">
              <w:t xml:space="preserve"> or start a discussion at this stage. Follow-up can happen outside of the session if someone offers their help. </w:t>
            </w:r>
          </w:p>
          <w:p w14:paraId="55E4E332" w14:textId="563FBDE5" w:rsidR="00953113" w:rsidRPr="00481076" w:rsidRDefault="00953113" w:rsidP="00953113">
            <w:r w:rsidRPr="00481076">
              <w:t xml:space="preserve">Check for understanding. </w:t>
            </w:r>
          </w:p>
          <w:p w14:paraId="426BECE7" w14:textId="5173C987" w:rsidR="00953113" w:rsidRPr="00481076" w:rsidRDefault="00953113" w:rsidP="00953113">
            <w:r w:rsidRPr="00481076">
              <w:t>Invite a volunteer to be the first c</w:t>
            </w:r>
            <w:r>
              <w:t>lient and run the activity. Be</w:t>
            </w:r>
            <w:r w:rsidRPr="00481076">
              <w:t xml:space="preserve"> sure to keep things moving and do not allow the other participants to spend too long on advice. The aim is to generate lots of possible ideas which the client can choose from.</w:t>
            </w:r>
          </w:p>
          <w:p w14:paraId="39311568" w14:textId="77777777" w:rsidR="0092419C" w:rsidRDefault="00953113" w:rsidP="00953113">
            <w:r w:rsidRPr="00481076">
              <w:t xml:space="preserve">Repeat with the other participants. Depending on the size of the group, you may choose to run two rounds in </w:t>
            </w:r>
            <w:r>
              <w:t>the full plenary to demonstrate</w:t>
            </w:r>
            <w:r w:rsidRPr="00481076">
              <w:t xml:space="preserve"> and then split into two smaller groups for the remaining ‘clients’ to allow time for everyone.</w:t>
            </w:r>
          </w:p>
          <w:p w14:paraId="7B931A37" w14:textId="77777777" w:rsidR="00953B61" w:rsidRDefault="00953B61" w:rsidP="00953113">
            <w:pPr>
              <w:rPr>
                <w:highlight w:val="white"/>
              </w:rPr>
            </w:pPr>
          </w:p>
          <w:p w14:paraId="1F7A2F35" w14:textId="77777777" w:rsidR="00953B61" w:rsidRDefault="00953B61" w:rsidP="00953113">
            <w:pPr>
              <w:rPr>
                <w:highlight w:val="white"/>
              </w:rPr>
            </w:pPr>
          </w:p>
          <w:p w14:paraId="460C67E7" w14:textId="416C322F" w:rsidR="00953B61" w:rsidRPr="00CB4AEF" w:rsidRDefault="00953B61" w:rsidP="00953113">
            <w:pPr>
              <w:rPr>
                <w:highlight w:val="white"/>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4CCE96" w14:textId="77777777" w:rsidR="009734E6" w:rsidRDefault="009734E6" w:rsidP="009734E6">
            <w:pPr>
              <w:pStyle w:val="TableSmallBlueHeading"/>
            </w:pPr>
          </w:p>
          <w:p w14:paraId="538CB473" w14:textId="77777777" w:rsidR="00F1549A" w:rsidRDefault="00F1549A" w:rsidP="00BD7187"/>
          <w:p w14:paraId="32E69010" w14:textId="77777777" w:rsidR="00F1549A" w:rsidRDefault="00F1549A" w:rsidP="00BD7187"/>
          <w:p w14:paraId="5069C1F9" w14:textId="77777777" w:rsidR="00F1549A" w:rsidRDefault="00F1549A" w:rsidP="00BD7187"/>
          <w:p w14:paraId="22D9AE61" w14:textId="77777777" w:rsidR="00F1549A" w:rsidRDefault="00F1549A" w:rsidP="00BD7187"/>
          <w:p w14:paraId="6756D9FB" w14:textId="77777777" w:rsidR="00F1549A" w:rsidRDefault="00F1549A" w:rsidP="00BD7187"/>
          <w:p w14:paraId="261E4990" w14:textId="77777777" w:rsidR="00F1549A" w:rsidRDefault="00F1549A" w:rsidP="00BD7187"/>
          <w:p w14:paraId="4F2A57D9" w14:textId="09F56487" w:rsidR="00BD7187" w:rsidRPr="00481076" w:rsidRDefault="009734E6" w:rsidP="00BD7187">
            <w:r>
              <w:lastRenderedPageBreak/>
              <w:br/>
            </w:r>
            <w:r>
              <w:br/>
            </w:r>
            <w:r w:rsidR="00BD7187" w:rsidRPr="00481076">
              <w:t>Copy and paste this list into the chat as a reminder.</w:t>
            </w:r>
          </w:p>
          <w:p w14:paraId="2678FF71" w14:textId="77777777" w:rsidR="00BD7187" w:rsidRPr="00481076" w:rsidRDefault="00BD7187" w:rsidP="00BD7187">
            <w:pPr>
              <w:jc w:val="both"/>
              <w:rPr>
                <w:rFonts w:ascii="Arial" w:eastAsia="Arial" w:hAnsi="Arial" w:cs="Arial"/>
              </w:rPr>
            </w:pPr>
          </w:p>
          <w:p w14:paraId="0AEC6334" w14:textId="77777777" w:rsidR="00BD7187" w:rsidRPr="00481076" w:rsidRDefault="00BD7187" w:rsidP="00BD7187">
            <w:pPr>
              <w:jc w:val="both"/>
              <w:rPr>
                <w:rFonts w:ascii="Arial" w:eastAsia="Arial" w:hAnsi="Arial" w:cs="Arial"/>
              </w:rPr>
            </w:pPr>
          </w:p>
          <w:p w14:paraId="29A66A81" w14:textId="77777777" w:rsidR="00BD7187" w:rsidRPr="00481076" w:rsidRDefault="00BD7187" w:rsidP="00BD7187">
            <w:pPr>
              <w:jc w:val="both"/>
              <w:rPr>
                <w:rFonts w:ascii="Arial" w:eastAsia="Arial" w:hAnsi="Arial" w:cs="Arial"/>
              </w:rPr>
            </w:pPr>
          </w:p>
          <w:p w14:paraId="70509B92" w14:textId="77777777" w:rsidR="00BD7187" w:rsidRPr="00481076" w:rsidRDefault="00BD7187" w:rsidP="00BD7187">
            <w:pPr>
              <w:jc w:val="both"/>
              <w:rPr>
                <w:rFonts w:ascii="Arial" w:eastAsia="Arial" w:hAnsi="Arial" w:cs="Arial"/>
              </w:rPr>
            </w:pPr>
          </w:p>
          <w:p w14:paraId="5F6D1F88" w14:textId="77777777" w:rsidR="00BD7187" w:rsidRPr="00481076" w:rsidRDefault="00BD7187" w:rsidP="00BD7187">
            <w:pPr>
              <w:jc w:val="both"/>
              <w:rPr>
                <w:rFonts w:ascii="Arial" w:eastAsia="Arial" w:hAnsi="Arial" w:cs="Arial"/>
              </w:rPr>
            </w:pPr>
          </w:p>
          <w:p w14:paraId="785F8908" w14:textId="77777777" w:rsidR="00BD7187" w:rsidRPr="00481076" w:rsidRDefault="00BD7187" w:rsidP="00BD7187">
            <w:pPr>
              <w:jc w:val="both"/>
              <w:rPr>
                <w:rFonts w:ascii="Arial" w:eastAsia="Arial" w:hAnsi="Arial" w:cs="Arial"/>
              </w:rPr>
            </w:pPr>
          </w:p>
          <w:p w14:paraId="0418F5F1" w14:textId="77777777" w:rsidR="00BD7187" w:rsidRPr="00481076" w:rsidRDefault="00BD7187" w:rsidP="00BD7187">
            <w:pPr>
              <w:jc w:val="both"/>
              <w:rPr>
                <w:rFonts w:ascii="Arial" w:eastAsia="Arial" w:hAnsi="Arial" w:cs="Arial"/>
              </w:rPr>
            </w:pPr>
          </w:p>
          <w:p w14:paraId="4C9FBFBE" w14:textId="77777777" w:rsidR="00BD7187" w:rsidRPr="00481076" w:rsidRDefault="00BD7187" w:rsidP="00BD7187">
            <w:pPr>
              <w:jc w:val="both"/>
              <w:rPr>
                <w:rFonts w:ascii="Arial" w:eastAsia="Arial" w:hAnsi="Arial" w:cs="Arial"/>
              </w:rPr>
            </w:pPr>
          </w:p>
          <w:p w14:paraId="31D8C464" w14:textId="77777777" w:rsidR="00BD7187" w:rsidRPr="00481076" w:rsidRDefault="00BD7187" w:rsidP="00BD7187">
            <w:pPr>
              <w:jc w:val="both"/>
              <w:rPr>
                <w:rFonts w:ascii="Arial" w:eastAsia="Arial" w:hAnsi="Arial" w:cs="Arial"/>
              </w:rPr>
            </w:pPr>
          </w:p>
          <w:p w14:paraId="63F2F51C" w14:textId="77777777" w:rsidR="00BD7187" w:rsidRPr="00481076" w:rsidRDefault="00BD7187" w:rsidP="00BD7187"/>
          <w:p w14:paraId="7AB229A1" w14:textId="77777777" w:rsidR="00BD7187" w:rsidRPr="00481076" w:rsidRDefault="00BD7187" w:rsidP="00BD7187">
            <w:r w:rsidRPr="00481076">
              <w:t xml:space="preserve">If splitting the group, prepare a breakout room for half the group and have the technical producer facilitate the activity in the second group. </w:t>
            </w:r>
          </w:p>
          <w:p w14:paraId="64FAECDF" w14:textId="06C5F597" w:rsidR="00573F2E" w:rsidRDefault="00573F2E" w:rsidP="00E83E4A"/>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29E0A8DE" w:rsidR="00573F2E" w:rsidRDefault="00212AE6" w:rsidP="00573F2E">
            <w:r>
              <w:t>40</w:t>
            </w:r>
            <w:r w:rsidR="00573F2E" w:rsidRPr="00D9248C">
              <w:t xml:space="preserve"> min</w:t>
            </w:r>
          </w:p>
        </w:tc>
      </w:tr>
      <w:tr w:rsidR="00573F2E"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800199" w14:textId="77777777" w:rsidR="004A5842" w:rsidRPr="004A5842" w:rsidRDefault="004A5842" w:rsidP="004A5842">
            <w:pPr>
              <w:pStyle w:val="TableSmallBlueHeading"/>
            </w:pPr>
            <w:r w:rsidRPr="004A5842">
              <w:lastRenderedPageBreak/>
              <w:t>Session wrap-up</w:t>
            </w:r>
          </w:p>
          <w:p w14:paraId="54D597D8" w14:textId="77777777" w:rsidR="0084258F" w:rsidRPr="00D64647" w:rsidRDefault="0084258F" w:rsidP="00D64647">
            <w:r w:rsidRPr="00D64647">
              <w:t xml:space="preserve">Remind participants that they can use their learning log at any time to make a note of key learnings and wrap up the session by showing slide 86. </w:t>
            </w:r>
          </w:p>
          <w:p w14:paraId="212F2F55" w14:textId="77777777" w:rsidR="0084258F" w:rsidRPr="00D64647" w:rsidRDefault="0084258F" w:rsidP="00D64647"/>
          <w:p w14:paraId="2A379F01" w14:textId="77777777" w:rsidR="0084258F" w:rsidRPr="00D64647" w:rsidRDefault="0084258F" w:rsidP="00D64647">
            <w:r w:rsidRPr="00D64647">
              <w:t xml:space="preserve">Reflective practice - suggested questions: </w:t>
            </w:r>
          </w:p>
          <w:p w14:paraId="6A39DB6E" w14:textId="77777777" w:rsidR="00D64647" w:rsidRPr="00D64647" w:rsidRDefault="00D64647" w:rsidP="00D64647">
            <w:pPr>
              <w:pStyle w:val="NormalTextBulletsLevel1"/>
            </w:pPr>
            <w:r w:rsidRPr="00D64647">
              <w:t>What can you do with what you have learnt today about gender in your own CPHA programmes?</w:t>
            </w:r>
          </w:p>
          <w:p w14:paraId="580FB553" w14:textId="48A3F822" w:rsidR="00573F2E" w:rsidRDefault="00D64647" w:rsidP="00D64647">
            <w:pPr>
              <w:pStyle w:val="NormalTextBulletsLevel1"/>
            </w:pPr>
            <w:r w:rsidRPr="00D64647">
              <w:t>What is the most important thing you have learnt?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441A4F0A" w14:textId="681D247B" w:rsidR="00573F2E" w:rsidRDefault="00573F2E" w:rsidP="00452A2C"/>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6557BBFC" w:rsidR="00573F2E" w:rsidRDefault="00D64647" w:rsidP="00573F2E">
            <w:r>
              <w:t>5</w:t>
            </w:r>
            <w:r w:rsidR="00573F2E" w:rsidRPr="00D9248C">
              <w:t xml:space="preserve"> min</w:t>
            </w:r>
          </w:p>
        </w:tc>
      </w:tr>
    </w:tbl>
    <w:p w14:paraId="63EACC66" w14:textId="77777777" w:rsidR="001460F9" w:rsidRDefault="001460F9" w:rsidP="001460F9">
      <w:pPr>
        <w:pStyle w:val="1Heading1"/>
        <w:rPr>
          <w:rFonts w:eastAsia="Roboto Condensed"/>
        </w:rPr>
      </w:pPr>
      <w:r>
        <w:rPr>
          <w:rFonts w:eastAsia="Roboto Condensed"/>
        </w:rPr>
        <w:t>Supporting Information</w:t>
      </w:r>
    </w:p>
    <w:p w14:paraId="74C8FA25" w14:textId="77777777" w:rsidR="007D4B96" w:rsidRDefault="007D4B96" w:rsidP="007D4B96">
      <w:pPr>
        <w:pStyle w:val="1Heading1"/>
        <w:rPr>
          <w:rFonts w:eastAsia="Roboto Condensed"/>
        </w:rPr>
      </w:pPr>
      <w:r>
        <w:rPr>
          <w:rFonts w:eastAsia="Roboto Condensed"/>
        </w:rPr>
        <w:t>Additional Resources</w:t>
      </w:r>
    </w:p>
    <w:p w14:paraId="4B072EED" w14:textId="77777777" w:rsidR="00CC5724" w:rsidRPr="00481076" w:rsidRDefault="00000000" w:rsidP="00CC5724">
      <w:pPr>
        <w:rPr>
          <w:rFonts w:ascii="Arial" w:eastAsia="Arial" w:hAnsi="Arial" w:cs="Arial"/>
        </w:rPr>
      </w:pPr>
      <w:hyperlink r:id="rId9">
        <w:r w:rsidR="00CC5724" w:rsidRPr="006404F3">
          <w:rPr>
            <w:rFonts w:ascii="Arial" w:eastAsia="Arial" w:hAnsi="Arial" w:cs="Arial"/>
            <w:color w:val="0070C0"/>
            <w:u w:val="single"/>
          </w:rPr>
          <w:t>Understanding Risks and Protective Factors in Humanitarian Crisis</w:t>
        </w:r>
      </w:hyperlink>
      <w:r w:rsidR="00CC5724" w:rsidRPr="006404F3">
        <w:rPr>
          <w:rFonts w:ascii="Arial" w:eastAsia="Arial" w:hAnsi="Arial" w:cs="Arial"/>
          <w:color w:val="0070C0"/>
          <w:u w:val="single"/>
        </w:rPr>
        <w:t>,</w:t>
      </w:r>
      <w:r w:rsidR="00CC5724" w:rsidRPr="006404F3">
        <w:rPr>
          <w:rFonts w:ascii="Arial" w:eastAsia="Arial" w:hAnsi="Arial" w:cs="Arial"/>
          <w:color w:val="0070C0"/>
        </w:rPr>
        <w:t xml:space="preserve"> </w:t>
      </w:r>
      <w:r w:rsidR="00CC5724" w:rsidRPr="00481076">
        <w:rPr>
          <w:rFonts w:ascii="Arial" w:eastAsia="Arial" w:hAnsi="Arial" w:cs="Arial"/>
        </w:rPr>
        <w:t>Alliance for Child Protection in Humanitarian Action, 2021</w:t>
      </w:r>
    </w:p>
    <w:p w14:paraId="6DA02039" w14:textId="77777777" w:rsidR="00CC5724" w:rsidRPr="006404F3" w:rsidRDefault="00000000" w:rsidP="00CC5724">
      <w:pPr>
        <w:rPr>
          <w:rFonts w:ascii="Arial" w:eastAsia="Arial" w:hAnsi="Arial" w:cs="Arial"/>
          <w:color w:val="0070C0"/>
          <w:u w:val="single"/>
        </w:rPr>
      </w:pPr>
      <w:hyperlink r:id="rId10">
        <w:r w:rsidR="00CC5724" w:rsidRPr="006404F3">
          <w:rPr>
            <w:rFonts w:ascii="Arial" w:eastAsia="Arial" w:hAnsi="Arial" w:cs="Arial"/>
            <w:color w:val="0070C0"/>
            <w:u w:val="single"/>
          </w:rPr>
          <w:t>2021 IASC Gender and Age Marker</w:t>
        </w:r>
      </w:hyperlink>
      <w:r w:rsidR="00CC5724" w:rsidRPr="006404F3">
        <w:rPr>
          <w:rFonts w:ascii="Arial" w:eastAsia="Arial" w:hAnsi="Arial" w:cs="Arial"/>
          <w:color w:val="0070C0"/>
          <w:u w:val="single"/>
        </w:rPr>
        <w:t xml:space="preserve"> </w:t>
      </w:r>
    </w:p>
    <w:p w14:paraId="33011AA7" w14:textId="77777777" w:rsidR="00CC5724" w:rsidRPr="00481076" w:rsidRDefault="00000000" w:rsidP="00CC5724">
      <w:pPr>
        <w:rPr>
          <w:rFonts w:ascii="Arial" w:eastAsia="Arial" w:hAnsi="Arial" w:cs="Arial"/>
          <w:color w:val="3C4043"/>
          <w:highlight w:val="white"/>
        </w:rPr>
      </w:pPr>
      <w:hyperlink r:id="rId11">
        <w:r w:rsidR="00CC5724" w:rsidRPr="006404F3">
          <w:rPr>
            <w:rFonts w:ascii="Arial" w:eastAsia="Arial" w:hAnsi="Arial" w:cs="Arial"/>
            <w:color w:val="0070C0"/>
            <w:highlight w:val="white"/>
            <w:u w:val="single"/>
          </w:rPr>
          <w:t>Need to Know Guidance: Working with Lesbian, Gay, Bisexual, Transgender, Intersex and Queer Persons in Forced Displacement</w:t>
        </w:r>
      </w:hyperlink>
      <w:r w:rsidR="00CC5724" w:rsidRPr="006404F3">
        <w:rPr>
          <w:rFonts w:ascii="Arial" w:eastAsia="Arial" w:hAnsi="Arial" w:cs="Arial"/>
          <w:color w:val="0070C0"/>
          <w:highlight w:val="white"/>
          <w:u w:val="single"/>
        </w:rPr>
        <w:t>,</w:t>
      </w:r>
      <w:r w:rsidR="00CC5724" w:rsidRPr="006404F3">
        <w:rPr>
          <w:rFonts w:ascii="Arial" w:eastAsia="Arial" w:hAnsi="Arial" w:cs="Arial"/>
          <w:color w:val="0070C0"/>
          <w:highlight w:val="white"/>
        </w:rPr>
        <w:t xml:space="preserve"> </w:t>
      </w:r>
      <w:r w:rsidR="00CC5724" w:rsidRPr="00481076">
        <w:rPr>
          <w:rFonts w:ascii="Arial" w:eastAsia="Arial" w:hAnsi="Arial" w:cs="Arial"/>
          <w:color w:val="3C4043"/>
          <w:highlight w:val="white"/>
        </w:rPr>
        <w:t xml:space="preserve">UNHCR, 2021 </w:t>
      </w:r>
    </w:p>
    <w:p w14:paraId="4C683A88" w14:textId="77777777" w:rsidR="00CC5724" w:rsidRPr="00481076" w:rsidRDefault="00CC5724" w:rsidP="00CC5724">
      <w:pPr>
        <w:rPr>
          <w:rFonts w:ascii="Arial" w:eastAsia="Arial" w:hAnsi="Arial" w:cs="Arial"/>
        </w:rPr>
      </w:pPr>
      <w:r w:rsidRPr="00481076">
        <w:rPr>
          <w:rFonts w:ascii="Arial" w:eastAsia="Arial" w:hAnsi="Arial" w:cs="Arial"/>
          <w:color w:val="3C4043"/>
          <w:highlight w:val="white"/>
        </w:rPr>
        <w:t xml:space="preserve">Tip sheet on applying the UNHCR age, gender and diversity policy to LGBTIQ+ persons @  </w:t>
      </w:r>
      <w:hyperlink r:id="rId12">
        <w:r w:rsidRPr="008A5072">
          <w:rPr>
            <w:rFonts w:ascii="Arial" w:eastAsia="Arial" w:hAnsi="Arial" w:cs="Arial"/>
            <w:color w:val="0070C0"/>
            <w:highlight w:val="white"/>
            <w:u w:val="single"/>
          </w:rPr>
          <w:t>https://www.unhcr.org/protection/operations/60db21c9254/tip-sheet-applying-unhcr-age-gender-diversity-policy-lgbtiq-persons.html</w:t>
        </w:r>
      </w:hyperlink>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3"/>
      <w:footerReference w:type="even" r:id="rId14"/>
      <w:footerReference w:type="defaul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D003D" w14:textId="77777777" w:rsidR="00853360" w:rsidRDefault="00853360" w:rsidP="00486E52">
      <w:r>
        <w:separator/>
      </w:r>
    </w:p>
  </w:endnote>
  <w:endnote w:type="continuationSeparator" w:id="0">
    <w:p w14:paraId="0C598575" w14:textId="77777777" w:rsidR="00853360" w:rsidRDefault="00853360"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0D1E" w14:textId="77777777" w:rsidR="00853360" w:rsidRDefault="00853360" w:rsidP="00486E52">
      <w:r>
        <w:separator/>
      </w:r>
    </w:p>
  </w:footnote>
  <w:footnote w:type="continuationSeparator" w:id="0">
    <w:p w14:paraId="05774C0D" w14:textId="77777777" w:rsidR="00853360" w:rsidRDefault="00853360" w:rsidP="00486E52">
      <w:r>
        <w:continuationSeparator/>
      </w:r>
    </w:p>
  </w:footnote>
  <w:footnote w:id="1">
    <w:p w14:paraId="39C7D540" w14:textId="77777777" w:rsidR="00E975E3" w:rsidRPr="00481076" w:rsidRDefault="00E975E3" w:rsidP="00E975E3">
      <w:pPr>
        <w:rPr>
          <w:sz w:val="20"/>
          <w:szCs w:val="20"/>
        </w:rPr>
      </w:pPr>
      <w:r>
        <w:rPr>
          <w:vertAlign w:val="superscript"/>
        </w:rPr>
        <w:footnoteRef/>
      </w:r>
      <w:r w:rsidRPr="00481076">
        <w:rPr>
          <w:sz w:val="20"/>
          <w:szCs w:val="20"/>
        </w:rPr>
        <w:t xml:space="preserve"> </w:t>
      </w:r>
      <w:hyperlink r:id="rId1">
        <w:r w:rsidRPr="00481076">
          <w:rPr>
            <w:color w:val="1155CC"/>
            <w:sz w:val="20"/>
            <w:szCs w:val="20"/>
            <w:u w:val="single"/>
          </w:rPr>
          <w:t>Understanding Risks and Protective Factors in Humanitarian Crisis</w:t>
        </w:r>
      </w:hyperlink>
      <w:r w:rsidRPr="00481076">
        <w:rPr>
          <w:sz w:val="20"/>
          <w:szCs w:val="20"/>
        </w:rPr>
        <w:t>, Alliance for Child Protection in Humanitarian Action, 2021</w:t>
      </w:r>
    </w:p>
  </w:footnote>
  <w:footnote w:id="2">
    <w:p w14:paraId="424CC43A" w14:textId="77777777" w:rsidR="00E975E3" w:rsidRPr="00481076" w:rsidRDefault="00E975E3" w:rsidP="00E975E3">
      <w:pPr>
        <w:rPr>
          <w:sz w:val="20"/>
          <w:szCs w:val="20"/>
        </w:rPr>
      </w:pPr>
      <w:r>
        <w:rPr>
          <w:vertAlign w:val="superscript"/>
        </w:rPr>
        <w:footnoteRef/>
      </w:r>
      <w:r w:rsidRPr="00481076">
        <w:rPr>
          <w:sz w:val="20"/>
          <w:szCs w:val="20"/>
        </w:rPr>
        <w:t xml:space="preserve"> </w:t>
      </w:r>
      <w:hyperlink r:id="rId2">
        <w:r w:rsidRPr="00481076">
          <w:rPr>
            <w:color w:val="1155CC"/>
            <w:sz w:val="20"/>
            <w:szCs w:val="20"/>
            <w:u w:val="single"/>
          </w:rPr>
          <w:t>Understanding Risks and Protective Factors in Humanitarian Crisis</w:t>
        </w:r>
      </w:hyperlink>
      <w:r w:rsidRPr="00481076">
        <w:rPr>
          <w:sz w:val="20"/>
          <w:szCs w:val="20"/>
        </w:rPr>
        <w:t>, Alliance for Child Protection in Humanitarian Action, 2021</w:t>
      </w:r>
    </w:p>
  </w:footnote>
  <w:footnote w:id="3">
    <w:p w14:paraId="1610C5F5" w14:textId="77777777" w:rsidR="00E975E3" w:rsidRPr="00481076" w:rsidRDefault="00E975E3" w:rsidP="00E975E3">
      <w:pPr>
        <w:rPr>
          <w:sz w:val="20"/>
          <w:szCs w:val="20"/>
        </w:rPr>
      </w:pPr>
      <w:r>
        <w:rPr>
          <w:vertAlign w:val="superscript"/>
        </w:rPr>
        <w:footnoteRef/>
      </w:r>
      <w:r w:rsidRPr="00481076">
        <w:rPr>
          <w:sz w:val="20"/>
          <w:szCs w:val="20"/>
        </w:rPr>
        <w:t xml:space="preserve"> </w:t>
      </w:r>
      <w:hyperlink r:id="rId3">
        <w:r w:rsidRPr="00481076">
          <w:rPr>
            <w:color w:val="1155CC"/>
            <w:sz w:val="20"/>
            <w:szCs w:val="20"/>
            <w:u w:val="single"/>
          </w:rPr>
          <w:t>https://www.refworld.org/docid/4e6073972.html</w:t>
        </w:r>
      </w:hyperlink>
      <w:r w:rsidRPr="00481076">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683E41"/>
    <w:multiLevelType w:val="hybridMultilevel"/>
    <w:tmpl w:val="E3EC58C0"/>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01CE6A26"/>
    <w:multiLevelType w:val="multilevel"/>
    <w:tmpl w:val="EA0A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ED66C7"/>
    <w:multiLevelType w:val="multilevel"/>
    <w:tmpl w:val="3EC2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C2F66B9"/>
    <w:multiLevelType w:val="multilevel"/>
    <w:tmpl w:val="46B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C02B02"/>
    <w:multiLevelType w:val="multilevel"/>
    <w:tmpl w:val="6566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F95805"/>
    <w:multiLevelType w:val="multilevel"/>
    <w:tmpl w:val="F268176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4BC7F95"/>
    <w:multiLevelType w:val="multilevel"/>
    <w:tmpl w:val="A6660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1674F7"/>
    <w:multiLevelType w:val="multilevel"/>
    <w:tmpl w:val="F52E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A833C9"/>
    <w:multiLevelType w:val="multilevel"/>
    <w:tmpl w:val="B096F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03F28F4"/>
    <w:multiLevelType w:val="multilevel"/>
    <w:tmpl w:val="919A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49B14FD9"/>
    <w:multiLevelType w:val="multilevel"/>
    <w:tmpl w:val="0B4C9EE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766B9B"/>
    <w:multiLevelType w:val="multilevel"/>
    <w:tmpl w:val="C5BC6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88E04D9"/>
    <w:multiLevelType w:val="multilevel"/>
    <w:tmpl w:val="2FC4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443B62"/>
    <w:multiLevelType w:val="multilevel"/>
    <w:tmpl w:val="9E3A9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6E1182"/>
    <w:multiLevelType w:val="multilevel"/>
    <w:tmpl w:val="BA32B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2"/>
  </w:num>
  <w:num w:numId="8" w16cid:durableId="209920770">
    <w:abstractNumId w:val="9"/>
  </w:num>
  <w:num w:numId="9" w16cid:durableId="1488205232">
    <w:abstractNumId w:val="13"/>
  </w:num>
  <w:num w:numId="10" w16cid:durableId="1967618515">
    <w:abstractNumId w:val="34"/>
  </w:num>
  <w:num w:numId="11" w16cid:durableId="1737974695">
    <w:abstractNumId w:val="19"/>
  </w:num>
  <w:num w:numId="12" w16cid:durableId="778765163">
    <w:abstractNumId w:val="30"/>
  </w:num>
  <w:num w:numId="13" w16cid:durableId="1449592286">
    <w:abstractNumId w:val="8"/>
  </w:num>
  <w:num w:numId="14" w16cid:durableId="603268405">
    <w:abstractNumId w:val="20"/>
  </w:num>
  <w:num w:numId="15" w16cid:durableId="2137290702">
    <w:abstractNumId w:val="33"/>
  </w:num>
  <w:num w:numId="16" w16cid:durableId="265190426">
    <w:abstractNumId w:val="27"/>
  </w:num>
  <w:num w:numId="17" w16cid:durableId="1801337311">
    <w:abstractNumId w:val="11"/>
  </w:num>
  <w:num w:numId="18" w16cid:durableId="1124353349">
    <w:abstractNumId w:val="29"/>
  </w:num>
  <w:num w:numId="19" w16cid:durableId="1470435417">
    <w:abstractNumId w:val="22"/>
  </w:num>
  <w:num w:numId="20" w16cid:durableId="948001619">
    <w:abstractNumId w:val="24"/>
  </w:num>
  <w:num w:numId="21" w16cid:durableId="1344169136">
    <w:abstractNumId w:val="37"/>
  </w:num>
  <w:num w:numId="22" w16cid:durableId="300428531">
    <w:abstractNumId w:val="26"/>
  </w:num>
  <w:num w:numId="23" w16cid:durableId="1774401693">
    <w:abstractNumId w:val="31"/>
  </w:num>
  <w:num w:numId="24" w16cid:durableId="1682118976">
    <w:abstractNumId w:val="35"/>
  </w:num>
  <w:num w:numId="25" w16cid:durableId="692074521">
    <w:abstractNumId w:val="23"/>
  </w:num>
  <w:num w:numId="26" w16cid:durableId="1974746377">
    <w:abstractNumId w:val="12"/>
  </w:num>
  <w:num w:numId="27" w16cid:durableId="1774587268">
    <w:abstractNumId w:val="25"/>
  </w:num>
  <w:num w:numId="28" w16cid:durableId="1643002767">
    <w:abstractNumId w:val="28"/>
  </w:num>
  <w:num w:numId="29" w16cid:durableId="2112050118">
    <w:abstractNumId w:val="16"/>
  </w:num>
  <w:num w:numId="30" w16cid:durableId="980303634">
    <w:abstractNumId w:val="7"/>
  </w:num>
  <w:num w:numId="31" w16cid:durableId="797264925">
    <w:abstractNumId w:val="10"/>
  </w:num>
  <w:num w:numId="32" w16cid:durableId="1330407982">
    <w:abstractNumId w:val="17"/>
  </w:num>
  <w:num w:numId="33" w16cid:durableId="1819295813">
    <w:abstractNumId w:val="15"/>
  </w:num>
  <w:num w:numId="34" w16cid:durableId="1316642369">
    <w:abstractNumId w:val="14"/>
  </w:num>
  <w:num w:numId="35" w16cid:durableId="966012440">
    <w:abstractNumId w:val="18"/>
  </w:num>
  <w:num w:numId="36" w16cid:durableId="203252892">
    <w:abstractNumId w:val="6"/>
  </w:num>
  <w:num w:numId="37" w16cid:durableId="1698433678">
    <w:abstractNumId w:val="21"/>
  </w:num>
  <w:num w:numId="38" w16cid:durableId="213937131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AA3"/>
    <w:rsid w:val="00045C6A"/>
    <w:rsid w:val="00047278"/>
    <w:rsid w:val="000551C1"/>
    <w:rsid w:val="000656BC"/>
    <w:rsid w:val="00066E4E"/>
    <w:rsid w:val="00070047"/>
    <w:rsid w:val="0007041E"/>
    <w:rsid w:val="00071860"/>
    <w:rsid w:val="000815D8"/>
    <w:rsid w:val="00081AF5"/>
    <w:rsid w:val="00082945"/>
    <w:rsid w:val="000856F0"/>
    <w:rsid w:val="00091747"/>
    <w:rsid w:val="00096A42"/>
    <w:rsid w:val="000A1F74"/>
    <w:rsid w:val="000A4BD5"/>
    <w:rsid w:val="000A56B1"/>
    <w:rsid w:val="000A65FE"/>
    <w:rsid w:val="000A6D48"/>
    <w:rsid w:val="000B3112"/>
    <w:rsid w:val="000C03A8"/>
    <w:rsid w:val="000C40FD"/>
    <w:rsid w:val="000C544D"/>
    <w:rsid w:val="000C73E3"/>
    <w:rsid w:val="000C7526"/>
    <w:rsid w:val="000D2C9A"/>
    <w:rsid w:val="000D2CCC"/>
    <w:rsid w:val="000D3E56"/>
    <w:rsid w:val="000D3F1C"/>
    <w:rsid w:val="000D6864"/>
    <w:rsid w:val="000E2D08"/>
    <w:rsid w:val="000E31FD"/>
    <w:rsid w:val="000E567A"/>
    <w:rsid w:val="000F4339"/>
    <w:rsid w:val="000F7D38"/>
    <w:rsid w:val="00100884"/>
    <w:rsid w:val="001010FA"/>
    <w:rsid w:val="001011B5"/>
    <w:rsid w:val="00102086"/>
    <w:rsid w:val="001020F3"/>
    <w:rsid w:val="00102C0A"/>
    <w:rsid w:val="001106C3"/>
    <w:rsid w:val="00111353"/>
    <w:rsid w:val="00112765"/>
    <w:rsid w:val="00114F49"/>
    <w:rsid w:val="001162ED"/>
    <w:rsid w:val="0011712B"/>
    <w:rsid w:val="0011763C"/>
    <w:rsid w:val="00120045"/>
    <w:rsid w:val="00121CD4"/>
    <w:rsid w:val="00122885"/>
    <w:rsid w:val="00123469"/>
    <w:rsid w:val="0012570E"/>
    <w:rsid w:val="00126022"/>
    <w:rsid w:val="001262E9"/>
    <w:rsid w:val="00127D71"/>
    <w:rsid w:val="00135F19"/>
    <w:rsid w:val="00142DE7"/>
    <w:rsid w:val="001460F9"/>
    <w:rsid w:val="00151C57"/>
    <w:rsid w:val="00153B3A"/>
    <w:rsid w:val="00154743"/>
    <w:rsid w:val="00165BDB"/>
    <w:rsid w:val="001665BA"/>
    <w:rsid w:val="00167184"/>
    <w:rsid w:val="00167E70"/>
    <w:rsid w:val="00171CFC"/>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124B"/>
    <w:rsid w:val="001C2263"/>
    <w:rsid w:val="001C787A"/>
    <w:rsid w:val="001D05F0"/>
    <w:rsid w:val="001D093D"/>
    <w:rsid w:val="001D0EC2"/>
    <w:rsid w:val="001D2890"/>
    <w:rsid w:val="001D3BF0"/>
    <w:rsid w:val="001D6FF3"/>
    <w:rsid w:val="001E0E49"/>
    <w:rsid w:val="001E1507"/>
    <w:rsid w:val="001E6877"/>
    <w:rsid w:val="001E7894"/>
    <w:rsid w:val="001F0DDE"/>
    <w:rsid w:val="001F12EA"/>
    <w:rsid w:val="001F1B90"/>
    <w:rsid w:val="001F3115"/>
    <w:rsid w:val="001F65B8"/>
    <w:rsid w:val="001F6C55"/>
    <w:rsid w:val="00200147"/>
    <w:rsid w:val="00200E93"/>
    <w:rsid w:val="002033A7"/>
    <w:rsid w:val="00212AE6"/>
    <w:rsid w:val="00215C42"/>
    <w:rsid w:val="00220F48"/>
    <w:rsid w:val="00221051"/>
    <w:rsid w:val="002214D0"/>
    <w:rsid w:val="00221B43"/>
    <w:rsid w:val="00222921"/>
    <w:rsid w:val="00225262"/>
    <w:rsid w:val="0022703F"/>
    <w:rsid w:val="00227177"/>
    <w:rsid w:val="00227FA0"/>
    <w:rsid w:val="00230718"/>
    <w:rsid w:val="00232D1A"/>
    <w:rsid w:val="00233751"/>
    <w:rsid w:val="0023407F"/>
    <w:rsid w:val="0023558D"/>
    <w:rsid w:val="00237C12"/>
    <w:rsid w:val="0024593E"/>
    <w:rsid w:val="002606ED"/>
    <w:rsid w:val="002615E9"/>
    <w:rsid w:val="00261C71"/>
    <w:rsid w:val="002649C8"/>
    <w:rsid w:val="00264B8C"/>
    <w:rsid w:val="00270A09"/>
    <w:rsid w:val="00272379"/>
    <w:rsid w:val="00272DB4"/>
    <w:rsid w:val="00273A0A"/>
    <w:rsid w:val="00274746"/>
    <w:rsid w:val="00281465"/>
    <w:rsid w:val="0028217C"/>
    <w:rsid w:val="00283FC8"/>
    <w:rsid w:val="00290E26"/>
    <w:rsid w:val="002923B2"/>
    <w:rsid w:val="00292BCE"/>
    <w:rsid w:val="002A0053"/>
    <w:rsid w:val="002A26BD"/>
    <w:rsid w:val="002A4B73"/>
    <w:rsid w:val="002A6EFA"/>
    <w:rsid w:val="002B0B75"/>
    <w:rsid w:val="002B2FB0"/>
    <w:rsid w:val="002B32F2"/>
    <w:rsid w:val="002B4588"/>
    <w:rsid w:val="002B7BB4"/>
    <w:rsid w:val="002C16F2"/>
    <w:rsid w:val="002C18F3"/>
    <w:rsid w:val="002C25F0"/>
    <w:rsid w:val="002C40E5"/>
    <w:rsid w:val="002C43F3"/>
    <w:rsid w:val="002C55BC"/>
    <w:rsid w:val="002D3C89"/>
    <w:rsid w:val="002D43A2"/>
    <w:rsid w:val="002D697A"/>
    <w:rsid w:val="002E0E67"/>
    <w:rsid w:val="002E1191"/>
    <w:rsid w:val="002E1C49"/>
    <w:rsid w:val="002E3096"/>
    <w:rsid w:val="002E51E5"/>
    <w:rsid w:val="002E5AD6"/>
    <w:rsid w:val="002E60DE"/>
    <w:rsid w:val="002F304B"/>
    <w:rsid w:val="002F31F0"/>
    <w:rsid w:val="002F58EC"/>
    <w:rsid w:val="002F6AF4"/>
    <w:rsid w:val="00306D58"/>
    <w:rsid w:val="0031183C"/>
    <w:rsid w:val="00312354"/>
    <w:rsid w:val="0031555B"/>
    <w:rsid w:val="00315FD3"/>
    <w:rsid w:val="003167D4"/>
    <w:rsid w:val="00320A5A"/>
    <w:rsid w:val="00321D0D"/>
    <w:rsid w:val="00322BDC"/>
    <w:rsid w:val="00331F76"/>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461C"/>
    <w:rsid w:val="003A729C"/>
    <w:rsid w:val="003B1064"/>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090F"/>
    <w:rsid w:val="003E1A4D"/>
    <w:rsid w:val="003E3C90"/>
    <w:rsid w:val="003E6E63"/>
    <w:rsid w:val="003F1134"/>
    <w:rsid w:val="003F185D"/>
    <w:rsid w:val="003F18FE"/>
    <w:rsid w:val="003F4E3A"/>
    <w:rsid w:val="003F5443"/>
    <w:rsid w:val="003F7371"/>
    <w:rsid w:val="003F7E98"/>
    <w:rsid w:val="00400517"/>
    <w:rsid w:val="0040285B"/>
    <w:rsid w:val="0040409F"/>
    <w:rsid w:val="00404A60"/>
    <w:rsid w:val="00405880"/>
    <w:rsid w:val="00406746"/>
    <w:rsid w:val="0041017E"/>
    <w:rsid w:val="00411AF2"/>
    <w:rsid w:val="00431CCD"/>
    <w:rsid w:val="004339B1"/>
    <w:rsid w:val="00433B55"/>
    <w:rsid w:val="00435B2C"/>
    <w:rsid w:val="00435D06"/>
    <w:rsid w:val="004361C5"/>
    <w:rsid w:val="0044124C"/>
    <w:rsid w:val="00442077"/>
    <w:rsid w:val="0044251B"/>
    <w:rsid w:val="00442CC5"/>
    <w:rsid w:val="00443D9A"/>
    <w:rsid w:val="00452A2C"/>
    <w:rsid w:val="00456ADE"/>
    <w:rsid w:val="00461C65"/>
    <w:rsid w:val="00463B30"/>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30B9"/>
    <w:rsid w:val="004A5842"/>
    <w:rsid w:val="004A69D8"/>
    <w:rsid w:val="004B037D"/>
    <w:rsid w:val="004B2FBC"/>
    <w:rsid w:val="004B3392"/>
    <w:rsid w:val="004C39C8"/>
    <w:rsid w:val="004C6180"/>
    <w:rsid w:val="004C6C0E"/>
    <w:rsid w:val="004C7B82"/>
    <w:rsid w:val="004D125A"/>
    <w:rsid w:val="004D2441"/>
    <w:rsid w:val="004D2A08"/>
    <w:rsid w:val="004D42B9"/>
    <w:rsid w:val="004D463D"/>
    <w:rsid w:val="004D5499"/>
    <w:rsid w:val="004D62DA"/>
    <w:rsid w:val="004E4D53"/>
    <w:rsid w:val="004E4E7D"/>
    <w:rsid w:val="004E50CD"/>
    <w:rsid w:val="004E5908"/>
    <w:rsid w:val="004E5ADD"/>
    <w:rsid w:val="004F0AF1"/>
    <w:rsid w:val="004F7CEE"/>
    <w:rsid w:val="00500151"/>
    <w:rsid w:val="0050099E"/>
    <w:rsid w:val="00500D53"/>
    <w:rsid w:val="00500E7E"/>
    <w:rsid w:val="005072D6"/>
    <w:rsid w:val="00512539"/>
    <w:rsid w:val="005136AB"/>
    <w:rsid w:val="0051459F"/>
    <w:rsid w:val="00514C65"/>
    <w:rsid w:val="00520DE6"/>
    <w:rsid w:val="00520FF2"/>
    <w:rsid w:val="00522C3E"/>
    <w:rsid w:val="005265F0"/>
    <w:rsid w:val="00526B59"/>
    <w:rsid w:val="00526DEB"/>
    <w:rsid w:val="00527FF5"/>
    <w:rsid w:val="0055332C"/>
    <w:rsid w:val="0055659B"/>
    <w:rsid w:val="0056130D"/>
    <w:rsid w:val="00565C03"/>
    <w:rsid w:val="00565DF2"/>
    <w:rsid w:val="00566755"/>
    <w:rsid w:val="005668DF"/>
    <w:rsid w:val="0057162C"/>
    <w:rsid w:val="00573287"/>
    <w:rsid w:val="00573F2E"/>
    <w:rsid w:val="005740D6"/>
    <w:rsid w:val="005772AD"/>
    <w:rsid w:val="00582B20"/>
    <w:rsid w:val="00583292"/>
    <w:rsid w:val="00583EBE"/>
    <w:rsid w:val="00586250"/>
    <w:rsid w:val="00587D73"/>
    <w:rsid w:val="00591CD5"/>
    <w:rsid w:val="00593928"/>
    <w:rsid w:val="0059398D"/>
    <w:rsid w:val="005A07DB"/>
    <w:rsid w:val="005A3CCE"/>
    <w:rsid w:val="005A41ED"/>
    <w:rsid w:val="005A58C6"/>
    <w:rsid w:val="005A73AB"/>
    <w:rsid w:val="005B313E"/>
    <w:rsid w:val="005B51B4"/>
    <w:rsid w:val="005B54E9"/>
    <w:rsid w:val="005B638D"/>
    <w:rsid w:val="005C243B"/>
    <w:rsid w:val="005C2C19"/>
    <w:rsid w:val="005C51FC"/>
    <w:rsid w:val="005E0350"/>
    <w:rsid w:val="005E160D"/>
    <w:rsid w:val="005E16E1"/>
    <w:rsid w:val="005E248A"/>
    <w:rsid w:val="005E2B0B"/>
    <w:rsid w:val="005E3A50"/>
    <w:rsid w:val="005E44A4"/>
    <w:rsid w:val="005E6D26"/>
    <w:rsid w:val="005F09A4"/>
    <w:rsid w:val="005F203E"/>
    <w:rsid w:val="005F2378"/>
    <w:rsid w:val="005F39C1"/>
    <w:rsid w:val="005F78C7"/>
    <w:rsid w:val="0060204C"/>
    <w:rsid w:val="0060646B"/>
    <w:rsid w:val="00606B21"/>
    <w:rsid w:val="006076F6"/>
    <w:rsid w:val="00611BA3"/>
    <w:rsid w:val="00612D9A"/>
    <w:rsid w:val="006154AB"/>
    <w:rsid w:val="00615D4D"/>
    <w:rsid w:val="006174DD"/>
    <w:rsid w:val="00621445"/>
    <w:rsid w:val="0062330A"/>
    <w:rsid w:val="00625385"/>
    <w:rsid w:val="006258A5"/>
    <w:rsid w:val="00626629"/>
    <w:rsid w:val="006269A6"/>
    <w:rsid w:val="0062766C"/>
    <w:rsid w:val="00630582"/>
    <w:rsid w:val="00631B59"/>
    <w:rsid w:val="00631F8E"/>
    <w:rsid w:val="00632335"/>
    <w:rsid w:val="00636859"/>
    <w:rsid w:val="006404F3"/>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688D"/>
    <w:rsid w:val="0068737E"/>
    <w:rsid w:val="006901CE"/>
    <w:rsid w:val="00693399"/>
    <w:rsid w:val="00694125"/>
    <w:rsid w:val="006977D2"/>
    <w:rsid w:val="006A0D14"/>
    <w:rsid w:val="006A6CD9"/>
    <w:rsid w:val="006A6E15"/>
    <w:rsid w:val="006A77BF"/>
    <w:rsid w:val="006B04FE"/>
    <w:rsid w:val="006B357B"/>
    <w:rsid w:val="006B787E"/>
    <w:rsid w:val="006C25F4"/>
    <w:rsid w:val="006C33B5"/>
    <w:rsid w:val="006C524A"/>
    <w:rsid w:val="006C6094"/>
    <w:rsid w:val="006D0552"/>
    <w:rsid w:val="006D4315"/>
    <w:rsid w:val="006D55E6"/>
    <w:rsid w:val="006D7B92"/>
    <w:rsid w:val="006E0372"/>
    <w:rsid w:val="006E1365"/>
    <w:rsid w:val="006E4ADA"/>
    <w:rsid w:val="006E75C8"/>
    <w:rsid w:val="006F3201"/>
    <w:rsid w:val="006F5E08"/>
    <w:rsid w:val="006F7CFF"/>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13C9"/>
    <w:rsid w:val="00752163"/>
    <w:rsid w:val="00753919"/>
    <w:rsid w:val="00763989"/>
    <w:rsid w:val="0076516F"/>
    <w:rsid w:val="00772A49"/>
    <w:rsid w:val="007744AD"/>
    <w:rsid w:val="00775A03"/>
    <w:rsid w:val="00780F08"/>
    <w:rsid w:val="00781414"/>
    <w:rsid w:val="00782A35"/>
    <w:rsid w:val="007835A3"/>
    <w:rsid w:val="00792B06"/>
    <w:rsid w:val="00795AC5"/>
    <w:rsid w:val="00796E2C"/>
    <w:rsid w:val="007A03BC"/>
    <w:rsid w:val="007A0C02"/>
    <w:rsid w:val="007A1747"/>
    <w:rsid w:val="007A1A42"/>
    <w:rsid w:val="007A2A5B"/>
    <w:rsid w:val="007A52A6"/>
    <w:rsid w:val="007A6F73"/>
    <w:rsid w:val="007B029B"/>
    <w:rsid w:val="007B115B"/>
    <w:rsid w:val="007B1AA6"/>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47D7"/>
    <w:rsid w:val="00826FF2"/>
    <w:rsid w:val="00832676"/>
    <w:rsid w:val="0083382F"/>
    <w:rsid w:val="008347B6"/>
    <w:rsid w:val="00835DF6"/>
    <w:rsid w:val="0084258F"/>
    <w:rsid w:val="00844299"/>
    <w:rsid w:val="00844D1D"/>
    <w:rsid w:val="00846588"/>
    <w:rsid w:val="00846605"/>
    <w:rsid w:val="00853360"/>
    <w:rsid w:val="00856CC3"/>
    <w:rsid w:val="00857340"/>
    <w:rsid w:val="00857BA0"/>
    <w:rsid w:val="008615D7"/>
    <w:rsid w:val="00862B76"/>
    <w:rsid w:val="00864647"/>
    <w:rsid w:val="00864971"/>
    <w:rsid w:val="0086548E"/>
    <w:rsid w:val="00871A58"/>
    <w:rsid w:val="0087299D"/>
    <w:rsid w:val="00875428"/>
    <w:rsid w:val="00877D75"/>
    <w:rsid w:val="00881702"/>
    <w:rsid w:val="00881936"/>
    <w:rsid w:val="008829D9"/>
    <w:rsid w:val="00885F7C"/>
    <w:rsid w:val="00890858"/>
    <w:rsid w:val="0089261E"/>
    <w:rsid w:val="00892759"/>
    <w:rsid w:val="00893836"/>
    <w:rsid w:val="00893E48"/>
    <w:rsid w:val="00897244"/>
    <w:rsid w:val="00897611"/>
    <w:rsid w:val="008A1ECF"/>
    <w:rsid w:val="008A5072"/>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0AA8"/>
    <w:rsid w:val="008E2B39"/>
    <w:rsid w:val="008F1183"/>
    <w:rsid w:val="008F1717"/>
    <w:rsid w:val="008F1B5D"/>
    <w:rsid w:val="008F2FAD"/>
    <w:rsid w:val="00901D03"/>
    <w:rsid w:val="00901FA8"/>
    <w:rsid w:val="00902254"/>
    <w:rsid w:val="00902FEA"/>
    <w:rsid w:val="00903A62"/>
    <w:rsid w:val="00904A03"/>
    <w:rsid w:val="009130B1"/>
    <w:rsid w:val="009136B5"/>
    <w:rsid w:val="00914497"/>
    <w:rsid w:val="0091715B"/>
    <w:rsid w:val="00917B82"/>
    <w:rsid w:val="00920D95"/>
    <w:rsid w:val="0092419C"/>
    <w:rsid w:val="009262C9"/>
    <w:rsid w:val="00927D93"/>
    <w:rsid w:val="0093582A"/>
    <w:rsid w:val="00942018"/>
    <w:rsid w:val="00953113"/>
    <w:rsid w:val="00953B61"/>
    <w:rsid w:val="00953CAD"/>
    <w:rsid w:val="00954ABB"/>
    <w:rsid w:val="00954EDB"/>
    <w:rsid w:val="00955F0D"/>
    <w:rsid w:val="00955FE1"/>
    <w:rsid w:val="0095615B"/>
    <w:rsid w:val="009626FF"/>
    <w:rsid w:val="0096534F"/>
    <w:rsid w:val="00972E4E"/>
    <w:rsid w:val="009734E6"/>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1314"/>
    <w:rsid w:val="009B2DE6"/>
    <w:rsid w:val="009B5655"/>
    <w:rsid w:val="009B57E6"/>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14805"/>
    <w:rsid w:val="00A154D7"/>
    <w:rsid w:val="00A22D30"/>
    <w:rsid w:val="00A22DC4"/>
    <w:rsid w:val="00A24030"/>
    <w:rsid w:val="00A240EE"/>
    <w:rsid w:val="00A32097"/>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392E"/>
    <w:rsid w:val="00AC4257"/>
    <w:rsid w:val="00AC4DA9"/>
    <w:rsid w:val="00AC5BD0"/>
    <w:rsid w:val="00AC7576"/>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2A12"/>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2E1F"/>
    <w:rsid w:val="00B94ECB"/>
    <w:rsid w:val="00B96CB7"/>
    <w:rsid w:val="00B96FA2"/>
    <w:rsid w:val="00BA2D17"/>
    <w:rsid w:val="00BA330C"/>
    <w:rsid w:val="00BB1319"/>
    <w:rsid w:val="00BB499B"/>
    <w:rsid w:val="00BB6AB0"/>
    <w:rsid w:val="00BC3463"/>
    <w:rsid w:val="00BC6BBF"/>
    <w:rsid w:val="00BD0D0D"/>
    <w:rsid w:val="00BD5FF8"/>
    <w:rsid w:val="00BD7187"/>
    <w:rsid w:val="00BE0C22"/>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16533"/>
    <w:rsid w:val="00C22F42"/>
    <w:rsid w:val="00C333AE"/>
    <w:rsid w:val="00C36BCB"/>
    <w:rsid w:val="00C4247E"/>
    <w:rsid w:val="00C432D4"/>
    <w:rsid w:val="00C44085"/>
    <w:rsid w:val="00C455B1"/>
    <w:rsid w:val="00C50D2B"/>
    <w:rsid w:val="00C5119C"/>
    <w:rsid w:val="00C51A81"/>
    <w:rsid w:val="00C52CF0"/>
    <w:rsid w:val="00C53D96"/>
    <w:rsid w:val="00C6026E"/>
    <w:rsid w:val="00C61869"/>
    <w:rsid w:val="00C63ECA"/>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AEF"/>
    <w:rsid w:val="00CB4F5C"/>
    <w:rsid w:val="00CB6207"/>
    <w:rsid w:val="00CC21C2"/>
    <w:rsid w:val="00CC21E1"/>
    <w:rsid w:val="00CC3A3C"/>
    <w:rsid w:val="00CC5192"/>
    <w:rsid w:val="00CC5724"/>
    <w:rsid w:val="00CD026E"/>
    <w:rsid w:val="00CD4FAA"/>
    <w:rsid w:val="00CD51C0"/>
    <w:rsid w:val="00CE0C94"/>
    <w:rsid w:val="00CE1C4E"/>
    <w:rsid w:val="00CE2064"/>
    <w:rsid w:val="00CE316F"/>
    <w:rsid w:val="00CE68EA"/>
    <w:rsid w:val="00CE72ED"/>
    <w:rsid w:val="00CF1376"/>
    <w:rsid w:val="00CF3555"/>
    <w:rsid w:val="00CF4515"/>
    <w:rsid w:val="00CF54C4"/>
    <w:rsid w:val="00CF6EB1"/>
    <w:rsid w:val="00CF70FB"/>
    <w:rsid w:val="00D0395D"/>
    <w:rsid w:val="00D079E3"/>
    <w:rsid w:val="00D07D72"/>
    <w:rsid w:val="00D1002D"/>
    <w:rsid w:val="00D16380"/>
    <w:rsid w:val="00D16741"/>
    <w:rsid w:val="00D179E0"/>
    <w:rsid w:val="00D17E8D"/>
    <w:rsid w:val="00D24D17"/>
    <w:rsid w:val="00D24EC3"/>
    <w:rsid w:val="00D2619C"/>
    <w:rsid w:val="00D30BDA"/>
    <w:rsid w:val="00D314D9"/>
    <w:rsid w:val="00D33088"/>
    <w:rsid w:val="00D53831"/>
    <w:rsid w:val="00D53F8C"/>
    <w:rsid w:val="00D54152"/>
    <w:rsid w:val="00D556FE"/>
    <w:rsid w:val="00D56360"/>
    <w:rsid w:val="00D63516"/>
    <w:rsid w:val="00D64647"/>
    <w:rsid w:val="00D71606"/>
    <w:rsid w:val="00D77A08"/>
    <w:rsid w:val="00D822B4"/>
    <w:rsid w:val="00D82F58"/>
    <w:rsid w:val="00D85A71"/>
    <w:rsid w:val="00D85DF9"/>
    <w:rsid w:val="00D861D1"/>
    <w:rsid w:val="00D91C8D"/>
    <w:rsid w:val="00D9248C"/>
    <w:rsid w:val="00D9456F"/>
    <w:rsid w:val="00D95110"/>
    <w:rsid w:val="00D95AD3"/>
    <w:rsid w:val="00D9652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7A4"/>
    <w:rsid w:val="00DE581C"/>
    <w:rsid w:val="00DF51B8"/>
    <w:rsid w:val="00DF5CB2"/>
    <w:rsid w:val="00E018F1"/>
    <w:rsid w:val="00E0506C"/>
    <w:rsid w:val="00E11AE8"/>
    <w:rsid w:val="00E14236"/>
    <w:rsid w:val="00E15B59"/>
    <w:rsid w:val="00E1691E"/>
    <w:rsid w:val="00E16F31"/>
    <w:rsid w:val="00E234E3"/>
    <w:rsid w:val="00E2352A"/>
    <w:rsid w:val="00E27581"/>
    <w:rsid w:val="00E36962"/>
    <w:rsid w:val="00E41763"/>
    <w:rsid w:val="00E4643A"/>
    <w:rsid w:val="00E47570"/>
    <w:rsid w:val="00E54B53"/>
    <w:rsid w:val="00E62515"/>
    <w:rsid w:val="00E62597"/>
    <w:rsid w:val="00E62A52"/>
    <w:rsid w:val="00E63327"/>
    <w:rsid w:val="00E641A4"/>
    <w:rsid w:val="00E64495"/>
    <w:rsid w:val="00E670B8"/>
    <w:rsid w:val="00E6735A"/>
    <w:rsid w:val="00E7075D"/>
    <w:rsid w:val="00E72409"/>
    <w:rsid w:val="00E72809"/>
    <w:rsid w:val="00E72A99"/>
    <w:rsid w:val="00E72B62"/>
    <w:rsid w:val="00E731BE"/>
    <w:rsid w:val="00E73B92"/>
    <w:rsid w:val="00E77566"/>
    <w:rsid w:val="00E80270"/>
    <w:rsid w:val="00E83BF0"/>
    <w:rsid w:val="00E83E4A"/>
    <w:rsid w:val="00E846EB"/>
    <w:rsid w:val="00E85986"/>
    <w:rsid w:val="00E85FBB"/>
    <w:rsid w:val="00E866DC"/>
    <w:rsid w:val="00E872A5"/>
    <w:rsid w:val="00E909F0"/>
    <w:rsid w:val="00E91BD2"/>
    <w:rsid w:val="00E936D1"/>
    <w:rsid w:val="00E943D5"/>
    <w:rsid w:val="00E969B9"/>
    <w:rsid w:val="00E975E3"/>
    <w:rsid w:val="00E97CC2"/>
    <w:rsid w:val="00EA083D"/>
    <w:rsid w:val="00EA12B8"/>
    <w:rsid w:val="00EA183C"/>
    <w:rsid w:val="00EA28B2"/>
    <w:rsid w:val="00EA3B39"/>
    <w:rsid w:val="00EA4AC6"/>
    <w:rsid w:val="00EA546B"/>
    <w:rsid w:val="00EA56FD"/>
    <w:rsid w:val="00EB1CBF"/>
    <w:rsid w:val="00EB3CD3"/>
    <w:rsid w:val="00EB7DB1"/>
    <w:rsid w:val="00EC0390"/>
    <w:rsid w:val="00EC6754"/>
    <w:rsid w:val="00EC768B"/>
    <w:rsid w:val="00ED1EA3"/>
    <w:rsid w:val="00ED33C7"/>
    <w:rsid w:val="00ED74C7"/>
    <w:rsid w:val="00EE612F"/>
    <w:rsid w:val="00EE6A51"/>
    <w:rsid w:val="00EF048B"/>
    <w:rsid w:val="00EF06A8"/>
    <w:rsid w:val="00EF1FDE"/>
    <w:rsid w:val="00EF48B2"/>
    <w:rsid w:val="00EF6BA7"/>
    <w:rsid w:val="00EF7E65"/>
    <w:rsid w:val="00F03269"/>
    <w:rsid w:val="00F079C2"/>
    <w:rsid w:val="00F07B2C"/>
    <w:rsid w:val="00F1139F"/>
    <w:rsid w:val="00F11475"/>
    <w:rsid w:val="00F11AEB"/>
    <w:rsid w:val="00F11B8A"/>
    <w:rsid w:val="00F1549A"/>
    <w:rsid w:val="00F172E9"/>
    <w:rsid w:val="00F174DA"/>
    <w:rsid w:val="00F221BB"/>
    <w:rsid w:val="00F22D66"/>
    <w:rsid w:val="00F24611"/>
    <w:rsid w:val="00F31A8A"/>
    <w:rsid w:val="00F32A42"/>
    <w:rsid w:val="00F35795"/>
    <w:rsid w:val="00F37DC5"/>
    <w:rsid w:val="00F41E28"/>
    <w:rsid w:val="00F441F4"/>
    <w:rsid w:val="00F50900"/>
    <w:rsid w:val="00F5388E"/>
    <w:rsid w:val="00F56AE9"/>
    <w:rsid w:val="00F60686"/>
    <w:rsid w:val="00F60FCC"/>
    <w:rsid w:val="00F659D7"/>
    <w:rsid w:val="00F71D9E"/>
    <w:rsid w:val="00F7245B"/>
    <w:rsid w:val="00F72BAC"/>
    <w:rsid w:val="00F72FA0"/>
    <w:rsid w:val="00F77F65"/>
    <w:rsid w:val="00F812CC"/>
    <w:rsid w:val="00F8153C"/>
    <w:rsid w:val="00F84DC6"/>
    <w:rsid w:val="00F9078B"/>
    <w:rsid w:val="00F94603"/>
    <w:rsid w:val="00F96683"/>
    <w:rsid w:val="00FA07FF"/>
    <w:rsid w:val="00FA2C56"/>
    <w:rsid w:val="00FB4CB9"/>
    <w:rsid w:val="00FB5C4E"/>
    <w:rsid w:val="00FC1696"/>
    <w:rsid w:val="00FC1B61"/>
    <w:rsid w:val="00FC2B1B"/>
    <w:rsid w:val="00FC3B0A"/>
    <w:rsid w:val="00FC56D3"/>
    <w:rsid w:val="00FC754F"/>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hcr.org/protection/operations/60db21c9254/tip-sheet-applying-unhcr-age-gender-diversity-policy-lgbtiq-pers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fworld.org/docid/4e607397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e.humanitarianresponse.info/single/CmMi32GF" TargetMode="External"/><Relationship Id="rId4" Type="http://schemas.openxmlformats.org/officeDocument/2006/relationships/settings" Target="settings.xml"/><Relationship Id="rId9" Type="http://schemas.openxmlformats.org/officeDocument/2006/relationships/hyperlink" Target="https://alliancecpha.org/en/system/tdf/library/attachments/risk_and_protective_factor_report_final_edit.pdf?file=1&amp;type=node&amp;id=4286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docid/4e6073972.html" TargetMode="External"/><Relationship Id="rId2" Type="http://schemas.openxmlformats.org/officeDocument/2006/relationships/hyperlink" Target="https://alliancecpha.org/en/system/tdf/library/attachments/risk_and_protective_factor_report_final_edit.pdf?file=1&amp;type=node&amp;id=42865" TargetMode="External"/><Relationship Id="rId1" Type="http://schemas.openxmlformats.org/officeDocument/2006/relationships/hyperlink" Target="https://alliancecpha.org/en/system/tdf/library/attachments/risk_and_protective_factor_report_final_edit.pdf?file=1&amp;type=node&amp;id=428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43</cp:revision>
  <dcterms:created xsi:type="dcterms:W3CDTF">2024-05-13T18:51:00Z</dcterms:created>
  <dcterms:modified xsi:type="dcterms:W3CDTF">2024-05-15T12:55:00Z</dcterms:modified>
</cp:coreProperties>
</file>