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486E52">
      <w:r w:rsidRPr="001E7894">
        <w:rPr>
          <w:noProof/>
        </w:rPr>
        <w:drawing>
          <wp:anchor distT="0" distB="0" distL="114300" distR="114300" simplePos="0" relativeHeight="251658240" behindDoc="1" locked="0" layoutInCell="1" allowOverlap="1" wp14:anchorId="03CEFBD2" wp14:editId="7424E347">
            <wp:simplePos x="0" y="0"/>
            <wp:positionH relativeFrom="margin">
              <wp:align>right</wp:align>
            </wp:positionH>
            <wp:positionV relativeFrom="paragraph">
              <wp:posOffset>0</wp:posOffset>
            </wp:positionV>
            <wp:extent cx="9096375" cy="21145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114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305CD974" w:rsidR="00903A62" w:rsidRDefault="00B86929" w:rsidP="00486E52">
      <w:pPr>
        <w:pStyle w:val="Heading9"/>
      </w:pPr>
      <w:bookmarkStart w:id="0" w:name="_Toc522623217"/>
      <w:r w:rsidRPr="00B86929">
        <w:t xml:space="preserve">CPHA-CPMS learning </w:t>
      </w:r>
      <w:proofErr w:type="gramStart"/>
      <w:r w:rsidR="008B051C">
        <w:t>package</w:t>
      </w:r>
      <w:proofErr w:type="gramEnd"/>
    </w:p>
    <w:p w14:paraId="795782A3" w14:textId="59B688F6" w:rsidR="00EA546B" w:rsidRDefault="00A240EE" w:rsidP="00486E52">
      <w:pPr>
        <w:pStyle w:val="Heading9"/>
      </w:pPr>
      <w:r w:rsidRPr="00A240EE">
        <w:t>Accountability to Children</w:t>
      </w:r>
    </w:p>
    <w:p w14:paraId="6704040C" w14:textId="77777777" w:rsidR="00903A62" w:rsidRDefault="00903A62" w:rsidP="00486E52"/>
    <w:p w14:paraId="358DD791" w14:textId="77777777" w:rsidR="002A26BD" w:rsidRPr="00903A62" w:rsidRDefault="002A26BD" w:rsidP="00486E52"/>
    <w:bookmarkEnd w:id="0"/>
    <w:p w14:paraId="2D3B991B" w14:textId="52D33D6B" w:rsidR="007056C9" w:rsidRPr="00E0506C" w:rsidRDefault="00AC392E" w:rsidP="00486E52">
      <w:pPr>
        <w:pStyle w:val="1Heading1"/>
      </w:pPr>
      <w:r>
        <w:t>Objectives</w:t>
      </w:r>
    </w:p>
    <w:p w14:paraId="76A2FA4D" w14:textId="3154BB7F" w:rsidR="002214D0" w:rsidRDefault="0041017E" w:rsidP="00186F81">
      <w:pPr>
        <w:pStyle w:val="TableSmallBlueHeading"/>
      </w:pPr>
      <w:bookmarkStart w:id="1" w:name="_Toc522623219"/>
      <w:r w:rsidRPr="007744AD">
        <w:t>By the end of the session, participants will be able to:</w:t>
      </w:r>
      <w:bookmarkEnd w:id="1"/>
    </w:p>
    <w:p w14:paraId="674C09F1" w14:textId="77777777" w:rsidR="00694125" w:rsidRDefault="00694125" w:rsidP="00694125">
      <w:pPr>
        <w:pStyle w:val="NormalTextBulletsLevel1"/>
      </w:pPr>
      <w:r>
        <w:t xml:space="preserve">Define accountability to children in humanitarian </w:t>
      </w:r>
      <w:proofErr w:type="gramStart"/>
      <w:r>
        <w:t>action</w:t>
      </w:r>
      <w:proofErr w:type="gramEnd"/>
    </w:p>
    <w:p w14:paraId="4DABBF86" w14:textId="21479314" w:rsidR="001F65B8" w:rsidRDefault="00694125" w:rsidP="00694125">
      <w:pPr>
        <w:pStyle w:val="NormalTextBulletsLevel1"/>
      </w:pPr>
      <w:r>
        <w:t xml:space="preserve">Give examples of accountability in practice  </w:t>
      </w:r>
    </w:p>
    <w:p w14:paraId="2AC304A4" w14:textId="77777777" w:rsidR="000C544D" w:rsidRDefault="000C544D" w:rsidP="00486E52">
      <w:pPr>
        <w:pStyle w:val="1Heading1"/>
      </w:pPr>
      <w:r>
        <w:t>Key Learning Points</w:t>
      </w:r>
    </w:p>
    <w:p w14:paraId="400F9E4B" w14:textId="77777777" w:rsidR="00881936" w:rsidRPr="00881936" w:rsidRDefault="00881936" w:rsidP="00881936">
      <w:pPr>
        <w:rPr>
          <w:b/>
          <w:i/>
          <w:iCs/>
        </w:rPr>
      </w:pPr>
      <w:r w:rsidRPr="00881936">
        <w:rPr>
          <w:i/>
          <w:iCs/>
        </w:rPr>
        <w:t xml:space="preserve">To further explore content on the key learning points listed below, please refer to the “Additional Resources” section at the end of the session. </w:t>
      </w:r>
    </w:p>
    <w:p w14:paraId="3BE878D7" w14:textId="77777777" w:rsidR="002E51E5" w:rsidRDefault="002E51E5" w:rsidP="002E51E5">
      <w:r>
        <w:t xml:space="preserve">Accountability to affected people is a commitment by humanitarians to use power responsibly: to take account of, give account to and be held to account by the people we seek to assist. In humanitarian action this includes enabling affected people to meet their different needs, address their vulnerabilities, build on pre-existing </w:t>
      </w:r>
      <w:proofErr w:type="gramStart"/>
      <w:r>
        <w:t>capacities</w:t>
      </w:r>
      <w:proofErr w:type="gramEnd"/>
      <w:r>
        <w:t xml:space="preserve"> and drive </w:t>
      </w:r>
      <w:proofErr w:type="spellStart"/>
      <w:r>
        <w:t>programme</w:t>
      </w:r>
      <w:proofErr w:type="spellEnd"/>
      <w:r>
        <w:t xml:space="preserve"> adaptation through: </w:t>
      </w:r>
    </w:p>
    <w:p w14:paraId="6070AF30" w14:textId="77777777" w:rsidR="002E51E5" w:rsidRDefault="002E51E5" w:rsidP="008B3159">
      <w:pPr>
        <w:pStyle w:val="NormalTextBulletsLevel1"/>
      </w:pPr>
      <w:r>
        <w:lastRenderedPageBreak/>
        <w:t xml:space="preserve">Systematically sharing timely, </w:t>
      </w:r>
      <w:proofErr w:type="gramStart"/>
      <w:r>
        <w:t>relevant</w:t>
      </w:r>
      <w:proofErr w:type="gramEnd"/>
      <w:r>
        <w:t xml:space="preserve"> and actionable information with communities </w:t>
      </w:r>
    </w:p>
    <w:p w14:paraId="5DFDB188" w14:textId="77777777" w:rsidR="002E51E5" w:rsidRDefault="002E51E5" w:rsidP="008B3159">
      <w:pPr>
        <w:pStyle w:val="NormalTextBulletsLevel1"/>
      </w:pPr>
      <w:r>
        <w:t>Supporting the meaningful participation and leadership of affected people in decision-making, regardless of sex, age, disability status and other diversities</w:t>
      </w:r>
    </w:p>
    <w:p w14:paraId="68909A3A" w14:textId="77777777" w:rsidR="002E51E5" w:rsidRDefault="002E51E5" w:rsidP="008B3159">
      <w:pPr>
        <w:pStyle w:val="NormalTextBulletsLevel1"/>
      </w:pPr>
      <w:r>
        <w:t xml:space="preserve">Ensuring community feedback systems are in place to enable affected people to assess and comment on the performance of humanitarian action, including on sensitive matters such as sexual exploitation and abuse, fraud, corruption, </w:t>
      </w:r>
      <w:proofErr w:type="gramStart"/>
      <w:r>
        <w:t>racism</w:t>
      </w:r>
      <w:proofErr w:type="gramEnd"/>
      <w:r>
        <w:t xml:space="preserve"> and discrimination. </w:t>
      </w:r>
    </w:p>
    <w:p w14:paraId="0E798B86" w14:textId="77777777" w:rsidR="002E51E5" w:rsidRDefault="002E51E5" w:rsidP="008B3159">
      <w:r>
        <w:t xml:space="preserve">All humanitarian actors have a duty to children, to contribute to their protection, ensure their safeguarding and protection from sexual abuse and exploitation and to include them in humanitarian accountability and refugee protection procedures. Children must be meaningfully engaged, </w:t>
      </w:r>
      <w:proofErr w:type="gramStart"/>
      <w:r>
        <w:t>consulted</w:t>
      </w:r>
      <w:proofErr w:type="gramEnd"/>
      <w:r>
        <w:t xml:space="preserve"> and partnered with through age- and development stage-appropriate processes.</w:t>
      </w:r>
    </w:p>
    <w:p w14:paraId="67EA4F19" w14:textId="77777777" w:rsidR="002E51E5" w:rsidRDefault="002E51E5" w:rsidP="008B3159">
      <w:r>
        <w:t xml:space="preserve">What does accountability look like in practice? </w:t>
      </w:r>
    </w:p>
    <w:p w14:paraId="22E94D7F" w14:textId="77777777" w:rsidR="002E51E5" w:rsidRDefault="002E51E5" w:rsidP="008B3159">
      <w:pPr>
        <w:pStyle w:val="NormalTextBulletsLevel1"/>
      </w:pPr>
      <w:r>
        <w:t xml:space="preserve">Regular, timely and accessible information sharing on who we are, our projects (including budgetary information), what </w:t>
      </w:r>
      <w:proofErr w:type="spellStart"/>
      <w:r>
        <w:t>behaviour</w:t>
      </w:r>
      <w:proofErr w:type="spellEnd"/>
      <w:r>
        <w:t xml:space="preserve"> people can expect of our staff and representatives (in line with our Child Safeguarding Policy and Code of Conduct) and how children can be involved and provide feedback and complaints. This involves looking at the way we currently share information, making it more systematic and </w:t>
      </w:r>
      <w:proofErr w:type="spellStart"/>
      <w:r>
        <w:t>standardised</w:t>
      </w:r>
      <w:proofErr w:type="spellEnd"/>
      <w:r>
        <w:t xml:space="preserve"> and producing varied tools for various audiences. </w:t>
      </w:r>
    </w:p>
    <w:p w14:paraId="6B4ECBB0" w14:textId="77777777" w:rsidR="002E51E5" w:rsidRDefault="002E51E5" w:rsidP="008B3159">
      <w:pPr>
        <w:pStyle w:val="NormalTextBulletsLevel1"/>
      </w:pPr>
      <w:r>
        <w:t xml:space="preserve">Participation – discussing together, deciding </w:t>
      </w:r>
      <w:proofErr w:type="gramStart"/>
      <w:r>
        <w:t>together</w:t>
      </w:r>
      <w:proofErr w:type="gramEnd"/>
      <w:r>
        <w:t xml:space="preserve"> and working together with children. This involves looking at how we work with children across the </w:t>
      </w:r>
      <w:proofErr w:type="spellStart"/>
      <w:r>
        <w:t>programme</w:t>
      </w:r>
      <w:proofErr w:type="spellEnd"/>
      <w:r>
        <w:t xml:space="preserve"> cycle, moving from consultation to collaboration and improving quality and inclusiveness of participation where necessary. </w:t>
      </w:r>
    </w:p>
    <w:p w14:paraId="48E914E0" w14:textId="77777777" w:rsidR="002E51E5" w:rsidRDefault="002E51E5" w:rsidP="008B3159">
      <w:pPr>
        <w:pStyle w:val="NormalTextBulletsLevel1"/>
      </w:pPr>
      <w:r>
        <w:t xml:space="preserve">Proactively seeking feedback from children and handling their complaints. This involves systematic listening and setting up formal mechanisms in our projects for people to express views and concerns on our approach, </w:t>
      </w:r>
      <w:proofErr w:type="gramStart"/>
      <w:r>
        <w:t>activities</w:t>
      </w:r>
      <w:proofErr w:type="gramEnd"/>
      <w:r>
        <w:t xml:space="preserve"> and impact as well as on safety issues and the </w:t>
      </w:r>
      <w:proofErr w:type="spellStart"/>
      <w:r>
        <w:t>behaviour</w:t>
      </w:r>
      <w:proofErr w:type="spellEnd"/>
      <w:r>
        <w:t xml:space="preserve"> of our staff. </w:t>
      </w:r>
    </w:p>
    <w:p w14:paraId="30D2AB9E" w14:textId="77777777" w:rsidR="002E51E5" w:rsidRDefault="002E51E5" w:rsidP="008B3159">
      <w:pPr>
        <w:pStyle w:val="NormalTextBulletsLevel1"/>
      </w:pPr>
      <w:r>
        <w:t xml:space="preserve">Monitoring, </w:t>
      </w:r>
      <w:proofErr w:type="gramStart"/>
      <w:r>
        <w:t>evaluating</w:t>
      </w:r>
      <w:proofErr w:type="gramEnd"/>
      <w:r>
        <w:t xml:space="preserve"> and learning: giving a voice to children in our monitoring and evaluation exercises, regularly reviewing monitoring data and data from our complaints and feedback mechanisms to inform changes in implementation and ensuring evaluation data informs future project design, thus building a culture of learning and continual improvement. </w:t>
      </w:r>
    </w:p>
    <w:p w14:paraId="1D0EA8DD" w14:textId="77777777" w:rsidR="002E51E5" w:rsidRDefault="002E51E5" w:rsidP="008B3159">
      <w:pPr>
        <w:pStyle w:val="NormalTextBulletsLevel1"/>
      </w:pPr>
      <w:r>
        <w:lastRenderedPageBreak/>
        <w:t xml:space="preserve">Strengthening staff skills in accountable programming – this involves ensuring that our staff have the technical and </w:t>
      </w:r>
      <w:proofErr w:type="spellStart"/>
      <w:r>
        <w:t>behavioural</w:t>
      </w:r>
      <w:proofErr w:type="spellEnd"/>
      <w:r>
        <w:t xml:space="preserve"> competencies to deliver our commitments to children. It also involves working with </w:t>
      </w:r>
      <w:proofErr w:type="spellStart"/>
      <w:r>
        <w:t>programme</w:t>
      </w:r>
      <w:proofErr w:type="spellEnd"/>
      <w:r>
        <w:t xml:space="preserve"> and partner staff to ensure they understand what accountability looks like in practice: how to implement transparent, participatory </w:t>
      </w:r>
      <w:proofErr w:type="spellStart"/>
      <w:r>
        <w:t>programmes</w:t>
      </w:r>
      <w:proofErr w:type="spellEnd"/>
      <w:r>
        <w:t>, how to set up and manage complaint mechanisms and how to abide by our Code of Conduct and child safeguarding procedures.</w:t>
      </w:r>
    </w:p>
    <w:p w14:paraId="5FC5A219" w14:textId="77777777" w:rsidR="002E51E5" w:rsidRDefault="002E51E5" w:rsidP="00486E52"/>
    <w:p w14:paraId="64EB4ADA" w14:textId="77777777" w:rsidR="00CD4FAA" w:rsidRDefault="00CD4FAA" w:rsidP="00486E52">
      <w:pPr>
        <w:pStyle w:val="1Heading1"/>
      </w:pPr>
      <w:r>
        <w:t>Session o</w:t>
      </w:r>
      <w:r w:rsidRPr="005D4A25">
        <w:t>utlin</w:t>
      </w:r>
      <w:r>
        <w:t>e</w:t>
      </w:r>
    </w:p>
    <w:p w14:paraId="5F0ABF48" w14:textId="071A61B1" w:rsidR="00AD45CF" w:rsidRPr="00AD45CF" w:rsidRDefault="00AD45CF" w:rsidP="00BC6BBF">
      <w:pPr>
        <w:pStyle w:val="Mormal03CMIndent"/>
      </w:pPr>
    </w:p>
    <w:tbl>
      <w:tblPr>
        <w:tblW w:w="1148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414"/>
      </w:tblGrid>
      <w:tr w:rsidR="00E63327" w:rsidRPr="00127A03" w14:paraId="7CBBE7CB" w14:textId="77777777" w:rsidTr="00486E52">
        <w:trPr>
          <w:trHeight w:val="452"/>
        </w:trPr>
        <w:tc>
          <w:tcPr>
            <w:tcW w:w="5246" w:type="dxa"/>
            <w:shd w:val="clear" w:color="auto" w:fill="415E78"/>
            <w:tcMar>
              <w:top w:w="0" w:type="dxa"/>
              <w:left w:w="0" w:type="dxa"/>
              <w:bottom w:w="0" w:type="dxa"/>
              <w:right w:w="0" w:type="dxa"/>
            </w:tcMar>
            <w:vAlign w:val="center"/>
          </w:tcPr>
          <w:p w14:paraId="137BD724" w14:textId="77777777" w:rsidR="00E63327" w:rsidRPr="00145685" w:rsidRDefault="00E63327" w:rsidP="00486E52">
            <w:pPr>
              <w:pStyle w:val="TableWhiteHeadings"/>
            </w:pPr>
            <w:r w:rsidRPr="00145685">
              <w:t>Topic</w:t>
            </w:r>
          </w:p>
        </w:tc>
        <w:tc>
          <w:tcPr>
            <w:tcW w:w="4820" w:type="dxa"/>
            <w:shd w:val="clear" w:color="auto" w:fill="415E78"/>
            <w:tcMar>
              <w:top w:w="0" w:type="dxa"/>
              <w:left w:w="0" w:type="dxa"/>
              <w:bottom w:w="0" w:type="dxa"/>
              <w:right w:w="0" w:type="dxa"/>
            </w:tcMar>
            <w:vAlign w:val="center"/>
          </w:tcPr>
          <w:p w14:paraId="10F940F8" w14:textId="77777777" w:rsidR="00E63327" w:rsidRPr="00145685" w:rsidRDefault="00E63327" w:rsidP="00486E52">
            <w:pPr>
              <w:pStyle w:val="TableWhiteHeadings"/>
            </w:pPr>
            <w:r w:rsidRPr="00145685">
              <w:t>Methodology</w:t>
            </w:r>
          </w:p>
        </w:tc>
        <w:tc>
          <w:tcPr>
            <w:tcW w:w="1414" w:type="dxa"/>
            <w:shd w:val="clear" w:color="auto" w:fill="415E78"/>
            <w:tcMar>
              <w:top w:w="0" w:type="dxa"/>
              <w:left w:w="0" w:type="dxa"/>
              <w:bottom w:w="0" w:type="dxa"/>
              <w:right w:w="0" w:type="dxa"/>
            </w:tcMar>
            <w:vAlign w:val="center"/>
          </w:tcPr>
          <w:p w14:paraId="453E291C" w14:textId="77777777" w:rsidR="00E63327" w:rsidRPr="00145685" w:rsidRDefault="00E63327" w:rsidP="00486E52">
            <w:pPr>
              <w:pStyle w:val="TableWhiteHeadings"/>
            </w:pPr>
            <w:r w:rsidRPr="00145685">
              <w:t>Time</w:t>
            </w:r>
          </w:p>
        </w:tc>
      </w:tr>
      <w:tr w:rsidR="00972E4E" w14:paraId="3C9B36A7" w14:textId="77777777" w:rsidTr="00486E52">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3C2A29E5" w:rsidR="00972E4E" w:rsidRPr="00782A35" w:rsidRDefault="00BE171C" w:rsidP="00782A35">
            <w:pPr>
              <w:pStyle w:val="Mormal03CMIndent"/>
            </w:pPr>
            <w:r w:rsidRPr="00782A35">
              <w:t>Session Introduction</w:t>
            </w:r>
          </w:p>
        </w:tc>
        <w:tc>
          <w:tcPr>
            <w:tcW w:w="4820" w:type="dxa"/>
            <w:shd w:val="clear" w:color="auto" w:fill="F2F2F2" w:themeFill="background1" w:themeFillShade="F2"/>
            <w:tcMar>
              <w:top w:w="0" w:type="dxa"/>
              <w:left w:w="0" w:type="dxa"/>
              <w:bottom w:w="0" w:type="dxa"/>
              <w:right w:w="0" w:type="dxa"/>
            </w:tcMar>
            <w:vAlign w:val="center"/>
          </w:tcPr>
          <w:p w14:paraId="6ABC1EC0" w14:textId="250A0167" w:rsidR="00972E4E" w:rsidRPr="00782A35" w:rsidRDefault="006B04FE" w:rsidP="00782A35">
            <w:pPr>
              <w:pStyle w:val="Mormal03CMIndent"/>
            </w:pPr>
            <w:r w:rsidRPr="00782A35">
              <w:t>Plenary</w:t>
            </w:r>
          </w:p>
        </w:tc>
        <w:tc>
          <w:tcPr>
            <w:tcW w:w="1414" w:type="dxa"/>
            <w:shd w:val="clear" w:color="auto" w:fill="F2F2F2" w:themeFill="background1" w:themeFillShade="F2"/>
            <w:tcMar>
              <w:top w:w="0" w:type="dxa"/>
              <w:left w:w="0" w:type="dxa"/>
              <w:bottom w:w="0" w:type="dxa"/>
              <w:right w:w="0" w:type="dxa"/>
            </w:tcMar>
            <w:vAlign w:val="center"/>
          </w:tcPr>
          <w:p w14:paraId="4DF49F97" w14:textId="2F20EDA3" w:rsidR="00972E4E" w:rsidRPr="00782A35" w:rsidRDefault="000D3E56" w:rsidP="00782A35">
            <w:pPr>
              <w:pStyle w:val="Mormal03CMIndent"/>
            </w:pPr>
            <w:r w:rsidRPr="00782A35">
              <w:t>5</w:t>
            </w:r>
            <w:r w:rsidR="00972E4E" w:rsidRPr="00782A35">
              <w:t xml:space="preserve"> min</w:t>
            </w:r>
          </w:p>
        </w:tc>
      </w:tr>
      <w:tr w:rsidR="009F1484" w14:paraId="61153655" w14:textId="77777777" w:rsidTr="00486E52">
        <w:trPr>
          <w:trHeight w:val="452"/>
        </w:trPr>
        <w:tc>
          <w:tcPr>
            <w:tcW w:w="5246" w:type="dxa"/>
            <w:shd w:val="clear" w:color="auto" w:fill="FFFFFF"/>
            <w:tcMar>
              <w:top w:w="0" w:type="dxa"/>
              <w:left w:w="0" w:type="dxa"/>
              <w:bottom w:w="0" w:type="dxa"/>
              <w:right w:w="0" w:type="dxa"/>
            </w:tcMar>
            <w:vAlign w:val="center"/>
          </w:tcPr>
          <w:p w14:paraId="298C737F" w14:textId="52FA371F" w:rsidR="009F1484" w:rsidRPr="00782A35" w:rsidRDefault="00993EC3" w:rsidP="00782A35">
            <w:pPr>
              <w:pStyle w:val="Mormal03CMIndent"/>
            </w:pPr>
            <w:r w:rsidRPr="00782A35">
              <w:t>Accountability to Affected Populations</w:t>
            </w:r>
          </w:p>
        </w:tc>
        <w:tc>
          <w:tcPr>
            <w:tcW w:w="4820" w:type="dxa"/>
            <w:shd w:val="clear" w:color="auto" w:fill="FFFFFF"/>
            <w:tcMar>
              <w:top w:w="0" w:type="dxa"/>
              <w:left w:w="0" w:type="dxa"/>
              <w:bottom w:w="0" w:type="dxa"/>
              <w:right w:w="0" w:type="dxa"/>
            </w:tcMar>
            <w:vAlign w:val="center"/>
          </w:tcPr>
          <w:p w14:paraId="0C3785EA" w14:textId="6DF8F508" w:rsidR="009F1484" w:rsidRPr="00782A35" w:rsidRDefault="007C0444" w:rsidP="00782A35">
            <w:pPr>
              <w:pStyle w:val="Mormal03CMIndent"/>
            </w:pPr>
            <w:r w:rsidRPr="00782A35">
              <w:t>Plenary</w:t>
            </w:r>
          </w:p>
        </w:tc>
        <w:tc>
          <w:tcPr>
            <w:tcW w:w="1414" w:type="dxa"/>
            <w:shd w:val="clear" w:color="auto" w:fill="FFFFFF"/>
            <w:tcMar>
              <w:top w:w="0" w:type="dxa"/>
              <w:left w:w="0" w:type="dxa"/>
              <w:bottom w:w="0" w:type="dxa"/>
              <w:right w:w="0" w:type="dxa"/>
            </w:tcMar>
            <w:vAlign w:val="center"/>
          </w:tcPr>
          <w:p w14:paraId="49190D04" w14:textId="566B57D8" w:rsidR="009F1484" w:rsidRPr="00782A35" w:rsidRDefault="001B20F0" w:rsidP="00782A35">
            <w:pPr>
              <w:pStyle w:val="Mormal03CMIndent"/>
            </w:pPr>
            <w:r w:rsidRPr="00782A35">
              <w:t>20</w:t>
            </w:r>
            <w:r w:rsidR="009F1484" w:rsidRPr="00782A35">
              <w:t xml:space="preserve"> min</w:t>
            </w:r>
          </w:p>
        </w:tc>
      </w:tr>
      <w:tr w:rsidR="00CD51C0" w14:paraId="16806087" w14:textId="77777777" w:rsidTr="00486E52">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57F39897" w:rsidR="00CD51C0" w:rsidRPr="00782A35" w:rsidRDefault="003C22F3" w:rsidP="00782A35">
            <w:pPr>
              <w:pStyle w:val="Mormal03CMIndent"/>
            </w:pPr>
            <w:r w:rsidRPr="00782A35">
              <w:t>Accountability to Children</w:t>
            </w:r>
          </w:p>
        </w:tc>
        <w:tc>
          <w:tcPr>
            <w:tcW w:w="4820" w:type="dxa"/>
            <w:shd w:val="clear" w:color="auto" w:fill="F2F2F2" w:themeFill="background1" w:themeFillShade="F2"/>
            <w:tcMar>
              <w:top w:w="0" w:type="dxa"/>
              <w:left w:w="0" w:type="dxa"/>
              <w:bottom w:w="0" w:type="dxa"/>
              <w:right w:w="0" w:type="dxa"/>
            </w:tcMar>
            <w:vAlign w:val="center"/>
          </w:tcPr>
          <w:p w14:paraId="6CF8201B" w14:textId="6428C028" w:rsidR="00CD51C0" w:rsidRPr="00782A35" w:rsidRDefault="001B20F0" w:rsidP="00782A35">
            <w:pPr>
              <w:pStyle w:val="Mormal03CMIndent"/>
            </w:pPr>
            <w:r w:rsidRPr="00782A35">
              <w:t>Discussion in pairs</w:t>
            </w:r>
          </w:p>
        </w:tc>
        <w:tc>
          <w:tcPr>
            <w:tcW w:w="1414" w:type="dxa"/>
            <w:shd w:val="clear" w:color="auto" w:fill="F2F2F2" w:themeFill="background1" w:themeFillShade="F2"/>
            <w:tcMar>
              <w:top w:w="0" w:type="dxa"/>
              <w:left w:w="0" w:type="dxa"/>
              <w:bottom w:w="0" w:type="dxa"/>
              <w:right w:w="0" w:type="dxa"/>
            </w:tcMar>
            <w:vAlign w:val="center"/>
          </w:tcPr>
          <w:p w14:paraId="05F4AC3D" w14:textId="2AA3EAB7" w:rsidR="00CD51C0" w:rsidRPr="00782A35" w:rsidRDefault="001B20F0" w:rsidP="00782A35">
            <w:pPr>
              <w:pStyle w:val="Mormal03CMIndent"/>
            </w:pPr>
            <w:r w:rsidRPr="00782A35">
              <w:t>10</w:t>
            </w:r>
            <w:r w:rsidR="00CD51C0" w:rsidRPr="00782A35">
              <w:t xml:space="preserve"> min</w:t>
            </w:r>
          </w:p>
        </w:tc>
      </w:tr>
      <w:tr w:rsidR="001B20F0" w14:paraId="7CC67B67" w14:textId="77777777" w:rsidTr="001B20F0">
        <w:trPr>
          <w:trHeight w:val="452"/>
        </w:trPr>
        <w:tc>
          <w:tcPr>
            <w:tcW w:w="5246" w:type="dxa"/>
            <w:shd w:val="clear" w:color="auto" w:fill="FFFFFF" w:themeFill="background1"/>
            <w:tcMar>
              <w:top w:w="0" w:type="dxa"/>
              <w:left w:w="0" w:type="dxa"/>
              <w:bottom w:w="0" w:type="dxa"/>
              <w:right w:w="0" w:type="dxa"/>
            </w:tcMar>
            <w:vAlign w:val="center"/>
          </w:tcPr>
          <w:p w14:paraId="437CD83A" w14:textId="2041007F" w:rsidR="001B20F0" w:rsidRPr="00782A35" w:rsidRDefault="00B220A5" w:rsidP="00782A35">
            <w:pPr>
              <w:pStyle w:val="Mormal03CMIndent"/>
            </w:pPr>
            <w:r w:rsidRPr="00782A35">
              <w:t>Accountability to Children in practice</w:t>
            </w:r>
          </w:p>
        </w:tc>
        <w:tc>
          <w:tcPr>
            <w:tcW w:w="4820" w:type="dxa"/>
            <w:shd w:val="clear" w:color="auto" w:fill="FFFFFF" w:themeFill="background1"/>
            <w:tcMar>
              <w:top w:w="0" w:type="dxa"/>
              <w:left w:w="0" w:type="dxa"/>
              <w:bottom w:w="0" w:type="dxa"/>
              <w:right w:w="0" w:type="dxa"/>
            </w:tcMar>
            <w:vAlign w:val="center"/>
          </w:tcPr>
          <w:p w14:paraId="277FFFC4" w14:textId="261F357F" w:rsidR="001B20F0" w:rsidRPr="00782A35" w:rsidRDefault="00641768" w:rsidP="00782A35">
            <w:pPr>
              <w:pStyle w:val="Mormal03CMIndent"/>
            </w:pPr>
            <w:r w:rsidRPr="00782A35">
              <w:t>Group work</w:t>
            </w:r>
          </w:p>
        </w:tc>
        <w:tc>
          <w:tcPr>
            <w:tcW w:w="1414" w:type="dxa"/>
            <w:shd w:val="clear" w:color="auto" w:fill="FFFFFF" w:themeFill="background1"/>
            <w:tcMar>
              <w:top w:w="0" w:type="dxa"/>
              <w:left w:w="0" w:type="dxa"/>
              <w:bottom w:w="0" w:type="dxa"/>
              <w:right w:w="0" w:type="dxa"/>
            </w:tcMar>
            <w:vAlign w:val="center"/>
          </w:tcPr>
          <w:p w14:paraId="7483BBBF" w14:textId="2A8E818A" w:rsidR="001B20F0" w:rsidRPr="00782A35" w:rsidRDefault="00782A35" w:rsidP="00782A35">
            <w:pPr>
              <w:pStyle w:val="Mormal03CMIndent"/>
            </w:pPr>
            <w:r w:rsidRPr="00782A35">
              <w:t>40 min</w:t>
            </w:r>
          </w:p>
        </w:tc>
      </w:tr>
      <w:tr w:rsidR="001B20F0" w14:paraId="1126EFB0" w14:textId="77777777" w:rsidTr="00486E52">
        <w:trPr>
          <w:trHeight w:val="452"/>
        </w:trPr>
        <w:tc>
          <w:tcPr>
            <w:tcW w:w="5246" w:type="dxa"/>
            <w:shd w:val="clear" w:color="auto" w:fill="F2F2F2" w:themeFill="background1" w:themeFillShade="F2"/>
            <w:tcMar>
              <w:top w:w="0" w:type="dxa"/>
              <w:left w:w="0" w:type="dxa"/>
              <w:bottom w:w="0" w:type="dxa"/>
              <w:right w:w="0" w:type="dxa"/>
            </w:tcMar>
            <w:vAlign w:val="center"/>
          </w:tcPr>
          <w:p w14:paraId="78E8D4C1" w14:textId="65234265" w:rsidR="001B20F0" w:rsidRPr="00782A35" w:rsidRDefault="00B36FC2" w:rsidP="00782A35">
            <w:pPr>
              <w:pStyle w:val="Mormal03CMIndent"/>
            </w:pPr>
            <w:r w:rsidRPr="00782A35">
              <w:t>Session recap</w:t>
            </w:r>
          </w:p>
        </w:tc>
        <w:tc>
          <w:tcPr>
            <w:tcW w:w="4820" w:type="dxa"/>
            <w:shd w:val="clear" w:color="auto" w:fill="F2F2F2" w:themeFill="background1" w:themeFillShade="F2"/>
            <w:tcMar>
              <w:top w:w="0" w:type="dxa"/>
              <w:left w:w="0" w:type="dxa"/>
              <w:bottom w:w="0" w:type="dxa"/>
              <w:right w:w="0" w:type="dxa"/>
            </w:tcMar>
            <w:vAlign w:val="center"/>
          </w:tcPr>
          <w:p w14:paraId="1736DA11" w14:textId="4BC02977" w:rsidR="001B20F0" w:rsidRPr="00782A35" w:rsidRDefault="00782A35" w:rsidP="00782A35">
            <w:pPr>
              <w:pStyle w:val="Mormal03CMIndent"/>
            </w:pPr>
            <w:r w:rsidRPr="00782A35">
              <w:t>Plenary</w:t>
            </w:r>
          </w:p>
        </w:tc>
        <w:tc>
          <w:tcPr>
            <w:tcW w:w="1414" w:type="dxa"/>
            <w:shd w:val="clear" w:color="auto" w:fill="F2F2F2" w:themeFill="background1" w:themeFillShade="F2"/>
            <w:tcMar>
              <w:top w:w="0" w:type="dxa"/>
              <w:left w:w="0" w:type="dxa"/>
              <w:bottom w:w="0" w:type="dxa"/>
              <w:right w:w="0" w:type="dxa"/>
            </w:tcMar>
            <w:vAlign w:val="center"/>
          </w:tcPr>
          <w:p w14:paraId="2E586BA9" w14:textId="4A2F284F" w:rsidR="001B20F0" w:rsidRPr="00782A35" w:rsidRDefault="00782A35" w:rsidP="00782A35">
            <w:pPr>
              <w:pStyle w:val="Mormal03CMIndent"/>
            </w:pPr>
            <w:r w:rsidRPr="00782A35">
              <w:t>5 min</w:t>
            </w:r>
          </w:p>
        </w:tc>
      </w:tr>
      <w:tr w:rsidR="00E6677B" w14:paraId="529656A0" w14:textId="77777777" w:rsidTr="00716723">
        <w:trPr>
          <w:trHeight w:val="452"/>
        </w:trPr>
        <w:tc>
          <w:tcPr>
            <w:tcW w:w="10066" w:type="dxa"/>
            <w:gridSpan w:val="2"/>
            <w:shd w:val="clear" w:color="auto" w:fill="FFFFFF" w:themeFill="background1"/>
            <w:tcMar>
              <w:top w:w="0" w:type="dxa"/>
              <w:left w:w="0" w:type="dxa"/>
              <w:bottom w:w="0" w:type="dxa"/>
              <w:right w:w="0" w:type="dxa"/>
            </w:tcMar>
            <w:vAlign w:val="center"/>
          </w:tcPr>
          <w:p w14:paraId="3814C533" w14:textId="34F8443F" w:rsidR="00E6677B" w:rsidRPr="00782A35" w:rsidRDefault="00E6677B" w:rsidP="00782A35">
            <w:pPr>
              <w:pStyle w:val="Mormal03CMIndent"/>
            </w:pPr>
            <w:r w:rsidRPr="00782A35">
              <w:t>Total</w:t>
            </w:r>
          </w:p>
        </w:tc>
        <w:tc>
          <w:tcPr>
            <w:tcW w:w="1414" w:type="dxa"/>
            <w:shd w:val="clear" w:color="auto" w:fill="FFFFFF" w:themeFill="background1"/>
            <w:tcMar>
              <w:top w:w="0" w:type="dxa"/>
              <w:left w:w="0" w:type="dxa"/>
              <w:bottom w:w="0" w:type="dxa"/>
              <w:right w:w="0" w:type="dxa"/>
            </w:tcMar>
            <w:vAlign w:val="center"/>
          </w:tcPr>
          <w:p w14:paraId="0FDDFF43" w14:textId="3F89414A" w:rsidR="00E6677B" w:rsidRPr="00782A35" w:rsidRDefault="00E6677B" w:rsidP="00782A35">
            <w:pPr>
              <w:pStyle w:val="Mormal03CMIndent"/>
            </w:pPr>
            <w:r w:rsidRPr="00782A35">
              <w:t>80 min</w:t>
            </w:r>
          </w:p>
        </w:tc>
      </w:tr>
    </w:tbl>
    <w:p w14:paraId="52ECF38D" w14:textId="77777777" w:rsidR="006174DD" w:rsidRDefault="006174DD" w:rsidP="00F37DC5"/>
    <w:p w14:paraId="5CF05B04" w14:textId="77777777" w:rsidR="006174DD" w:rsidRDefault="006174DD" w:rsidP="00F37DC5"/>
    <w:p w14:paraId="43BEB1B2" w14:textId="77777777" w:rsidR="006174DD" w:rsidRDefault="006174DD" w:rsidP="00F37DC5"/>
    <w:p w14:paraId="5F7525A5" w14:textId="77777777" w:rsidR="006174DD" w:rsidRDefault="006174DD" w:rsidP="00F37DC5"/>
    <w:p w14:paraId="29BEA5C2" w14:textId="77777777" w:rsidR="006174DD" w:rsidRPr="00F37DC5" w:rsidRDefault="006174DD" w:rsidP="00F37DC5"/>
    <w:p w14:paraId="31BAA326" w14:textId="48330447" w:rsidR="0059398D" w:rsidRDefault="0086548E" w:rsidP="00486E52">
      <w:pPr>
        <w:pStyle w:val="1Heading1"/>
      </w:pPr>
      <w:r w:rsidRPr="00725D5A">
        <w:t>Instructions for facilitator</w:t>
      </w:r>
      <w:bookmarkStart w:id="2" w:name="_Toc522623220"/>
    </w:p>
    <w:bookmarkEnd w:id="2"/>
    <w:p w14:paraId="26DCE0D7" w14:textId="77777777" w:rsidR="00E11AE8" w:rsidRDefault="00E11AE8" w:rsidP="00486E52"/>
    <w:tbl>
      <w:tblPr>
        <w:tblStyle w:val="TableGrid"/>
        <w:tblW w:w="0" w:type="auto"/>
        <w:tblLook w:val="04A0" w:firstRow="1" w:lastRow="0" w:firstColumn="1" w:lastColumn="0" w:noHBand="0" w:noVBand="1"/>
      </w:tblPr>
      <w:tblGrid>
        <w:gridCol w:w="7267"/>
        <w:gridCol w:w="6058"/>
        <w:gridCol w:w="993"/>
      </w:tblGrid>
      <w:tr w:rsidR="00CE316F" w:rsidRPr="00B11BDB" w14:paraId="525B3164" w14:textId="77777777" w:rsidTr="00A975BE">
        <w:trPr>
          <w:trHeight w:val="465"/>
        </w:trPr>
        <w:tc>
          <w:tcPr>
            <w:tcW w:w="7267" w:type="dxa"/>
            <w:tcBorders>
              <w:top w:val="nil"/>
              <w:left w:val="nil"/>
              <w:bottom w:val="single" w:sz="4" w:space="0" w:color="BFBFBF" w:themeColor="background1" w:themeShade="BF"/>
              <w:right w:val="nil"/>
            </w:tcBorders>
            <w:shd w:val="clear" w:color="auto" w:fill="415E78"/>
            <w:vAlign w:val="center"/>
          </w:tcPr>
          <w:p w14:paraId="4C69BF04" w14:textId="05694FE5" w:rsidR="00CE316F" w:rsidRPr="00B464D0" w:rsidRDefault="00CE316F" w:rsidP="00486E52">
            <w:pPr>
              <w:pStyle w:val="TablWhiteHeading0MArgins"/>
            </w:pPr>
            <w:r w:rsidRPr="00B464D0">
              <w:t>Methodologies Face to Face</w:t>
            </w:r>
          </w:p>
        </w:tc>
        <w:tc>
          <w:tcPr>
            <w:tcW w:w="6058" w:type="dxa"/>
            <w:tcBorders>
              <w:top w:val="nil"/>
              <w:left w:val="nil"/>
              <w:bottom w:val="single" w:sz="4" w:space="0" w:color="BFBFBF" w:themeColor="background1" w:themeShade="BF"/>
              <w:right w:val="nil"/>
            </w:tcBorders>
            <w:shd w:val="clear" w:color="auto" w:fill="415E78"/>
            <w:vAlign w:val="center"/>
          </w:tcPr>
          <w:p w14:paraId="0FD1DE17" w14:textId="3A655FE7" w:rsidR="00CE316F" w:rsidRPr="00B464D0" w:rsidRDefault="00CE316F" w:rsidP="00486E52">
            <w:pPr>
              <w:pStyle w:val="TablWhiteHeading0MArgins"/>
            </w:pPr>
            <w:r w:rsidRPr="00B464D0">
              <w:t>Methodologies Remote</w:t>
            </w:r>
          </w:p>
        </w:tc>
        <w:tc>
          <w:tcPr>
            <w:tcW w:w="993" w:type="dxa"/>
            <w:tcBorders>
              <w:top w:val="nil"/>
              <w:left w:val="nil"/>
              <w:bottom w:val="single" w:sz="4" w:space="0" w:color="BFBFBF" w:themeColor="background1" w:themeShade="BF"/>
              <w:right w:val="nil"/>
            </w:tcBorders>
            <w:shd w:val="clear" w:color="auto" w:fill="415E78"/>
            <w:vAlign w:val="center"/>
          </w:tcPr>
          <w:p w14:paraId="0141BF79" w14:textId="77777777" w:rsidR="00CE316F" w:rsidRPr="00B464D0" w:rsidRDefault="00CE316F" w:rsidP="00486E52">
            <w:pPr>
              <w:pStyle w:val="TablWhiteHeading0MArgins"/>
            </w:pPr>
            <w:r w:rsidRPr="00B464D0">
              <w:rPr>
                <w:rStyle w:val="Emphasis"/>
                <w:i w:val="0"/>
                <w:iCs w:val="0"/>
              </w:rPr>
              <w:t>Time</w:t>
            </w:r>
          </w:p>
        </w:tc>
      </w:tr>
      <w:tr w:rsidR="00CE316F" w:rsidRPr="00B11BDB" w14:paraId="5EC2E405"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590615C" w14:textId="77777777" w:rsidR="000301FC" w:rsidRDefault="000301FC" w:rsidP="000301FC">
            <w:pPr>
              <w:pStyle w:val="TableSmallBlueHeading"/>
            </w:pPr>
            <w:r>
              <w:t>Session introduction</w:t>
            </w:r>
          </w:p>
          <w:p w14:paraId="393B66EC" w14:textId="237BDAE8" w:rsidR="001010FA" w:rsidRPr="00320A5A" w:rsidRDefault="00B73412" w:rsidP="00B73412">
            <w:r>
              <w:t xml:space="preserve">Welcome the participants and introduce the session objectives.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71F079A" w14:textId="77777777" w:rsidR="00E27581" w:rsidRDefault="00E27581" w:rsidP="00E27581">
            <w:pPr>
              <w:pStyle w:val="TableSmallBlueHeading"/>
            </w:pPr>
          </w:p>
          <w:p w14:paraId="36E83EE8" w14:textId="5B6B33DC" w:rsidR="004A30B9" w:rsidRPr="00F32A42" w:rsidRDefault="004A30B9" w:rsidP="00E27581"/>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CE316F" w:rsidRPr="00D9248C" w:rsidRDefault="00CE316F" w:rsidP="00CB6207">
            <w:pPr>
              <w:pStyle w:val="TableSmallBlueHeading"/>
            </w:pPr>
          </w:p>
          <w:p w14:paraId="06C21597" w14:textId="0EF89BC6" w:rsidR="00CE316F" w:rsidRPr="00B11BDB" w:rsidRDefault="006258A5" w:rsidP="00D9248C">
            <w:r>
              <w:t>2</w:t>
            </w:r>
            <w:r w:rsidR="00CE316F" w:rsidRPr="00D9248C">
              <w:t xml:space="preserve"> min</w:t>
            </w:r>
          </w:p>
        </w:tc>
      </w:tr>
      <w:tr w:rsidR="00CE316F" w:rsidRPr="00B11BDB" w14:paraId="1E81CFCA" w14:textId="77777777" w:rsidTr="00281465">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F60259A" w14:textId="77777777" w:rsidR="00281465" w:rsidRDefault="00281465" w:rsidP="00281465">
            <w:pPr>
              <w:pStyle w:val="TableSmallBlueHeading"/>
              <w:rPr>
                <w:highlight w:val="white"/>
              </w:rPr>
            </w:pPr>
            <w:r>
              <w:rPr>
                <w:highlight w:val="white"/>
              </w:rPr>
              <w:t>Accountability to Affected Populations</w:t>
            </w:r>
          </w:p>
          <w:p w14:paraId="72643428" w14:textId="0587216C" w:rsidR="00A70DFD" w:rsidRDefault="00A70DFD" w:rsidP="00A70DFD">
            <w:r>
              <w:rPr>
                <w:b/>
                <w:highlight w:val="white"/>
              </w:rPr>
              <w:t>Instructions:</w:t>
            </w:r>
            <w:r>
              <w:rPr>
                <w:highlight w:val="white"/>
              </w:rPr>
              <w:t xml:space="preserve"> Ask participants to think about accountability to affected populations and what it entails in practice. Ask participants to write their ideas on post-it notes and put them up on a flip chart. Participants can add as many post-it notes as they like. Once participants are done, show slide 57 and say: “</w:t>
            </w:r>
            <w:r>
              <w:t xml:space="preserve">Accountability to affected people is a commitment by humanitarians to use power responsibly: to take account of, give account to, and be held to account by the people we seek to assist. In humanitarian action, this includes enabling affected people to meet their different needs, address their vulnerabilities, build on pre-existing </w:t>
            </w:r>
            <w:proofErr w:type="gramStart"/>
            <w:r>
              <w:t>capacities</w:t>
            </w:r>
            <w:proofErr w:type="gramEnd"/>
            <w:r>
              <w:t xml:space="preserve"> and drive </w:t>
            </w:r>
            <w:proofErr w:type="spellStart"/>
            <w:r>
              <w:t>programme</w:t>
            </w:r>
            <w:proofErr w:type="spellEnd"/>
            <w:r>
              <w:t xml:space="preserve"> adaptation through: </w:t>
            </w:r>
          </w:p>
          <w:p w14:paraId="0931E18A" w14:textId="77777777" w:rsidR="00A70DFD" w:rsidRDefault="00A70DFD" w:rsidP="00A70DFD">
            <w:pPr>
              <w:pStyle w:val="NormalTextBulletsLevel1"/>
            </w:pPr>
            <w:r>
              <w:t xml:space="preserve">Systematically sharing timely, </w:t>
            </w:r>
            <w:proofErr w:type="gramStart"/>
            <w:r>
              <w:t>relevant</w:t>
            </w:r>
            <w:proofErr w:type="gramEnd"/>
            <w:r>
              <w:t xml:space="preserve"> and actionable information with communities</w:t>
            </w:r>
          </w:p>
          <w:p w14:paraId="59A61A1D" w14:textId="77777777" w:rsidR="00A70DFD" w:rsidRDefault="00A70DFD" w:rsidP="00A70DFD">
            <w:pPr>
              <w:pStyle w:val="NormalTextBulletsLevel1"/>
            </w:pPr>
            <w:r>
              <w:lastRenderedPageBreak/>
              <w:t>Supporting the meaningful participation and leadership of affected people in decision-making, regardless of sex, age, disability status and other diversities </w:t>
            </w:r>
          </w:p>
          <w:p w14:paraId="67BEEFEB" w14:textId="00206E75" w:rsidR="00A70DFD" w:rsidRPr="00A70DFD" w:rsidRDefault="00A70DFD" w:rsidP="00A70DFD">
            <w:pPr>
              <w:pStyle w:val="NormalTextBulletsLevel1"/>
            </w:pPr>
            <w:r>
              <w:t xml:space="preserve">Ensuring community feedback systems are in place to enable affected people to assess and comment on the performance of humanitarian action, including on sensitive matters such as sexual exploitation and abuse, fraud, corruption, </w:t>
            </w:r>
            <w:proofErr w:type="gramStart"/>
            <w:r>
              <w:t>racism</w:t>
            </w:r>
            <w:proofErr w:type="gramEnd"/>
            <w:r>
              <w:t xml:space="preserve"> and discrimination.” </w:t>
            </w:r>
          </w:p>
          <w:p w14:paraId="7A559577" w14:textId="38617813" w:rsidR="00CE316F" w:rsidRPr="00A70DFD" w:rsidRDefault="00A70DFD" w:rsidP="00A70DFD">
            <w:pPr>
              <w:rPr>
                <w:rStyle w:val="Emphasis"/>
                <w:rFonts w:ascii="Arial" w:eastAsia="Arial" w:hAnsi="Arial" w:cs="Arial"/>
                <w:i w:val="0"/>
                <w:iCs w:val="0"/>
              </w:rPr>
            </w:pPr>
            <w:r>
              <w:t xml:space="preserve">Instructions: ask participants to sort the inputs that they have provided on post-it notes into the abovementioned 3 categories.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FF6FB54" w14:textId="77777777" w:rsidR="00C36BCB" w:rsidRDefault="00C36BCB" w:rsidP="000656BC">
            <w:pPr>
              <w:pStyle w:val="TableSmallBlueHeading"/>
            </w:pPr>
          </w:p>
          <w:p w14:paraId="05DF16EB" w14:textId="6BC77050" w:rsidR="00BE0CCA" w:rsidRDefault="00611BA3" w:rsidP="00611BA3">
            <w:r>
              <w:t xml:space="preserve">Share a link to a </w:t>
            </w:r>
            <w:proofErr w:type="spellStart"/>
            <w:r>
              <w:t>Jamboard</w:t>
            </w:r>
            <w:proofErr w:type="spellEnd"/>
            <w:r>
              <w:t xml:space="preserve"> for participants to share their ideas.</w:t>
            </w:r>
          </w:p>
          <w:p w14:paraId="7067AC8C" w14:textId="1A1B2572" w:rsidR="00C36BCB" w:rsidRPr="00C36BCB" w:rsidRDefault="00C36BCB" w:rsidP="00486E52"/>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5F3CC18" w14:textId="77777777" w:rsidR="00CE316F" w:rsidRPr="000656BC" w:rsidRDefault="00CE316F" w:rsidP="00611BA3">
            <w:pPr>
              <w:pStyle w:val="TableSmallBlueHeading"/>
              <w:rPr>
                <w:rStyle w:val="Emphasis"/>
                <w:i w:val="0"/>
                <w:iCs w:val="0"/>
              </w:rPr>
            </w:pPr>
          </w:p>
          <w:p w14:paraId="54536621" w14:textId="6AC36702" w:rsidR="00CE316F" w:rsidRPr="002E60DE" w:rsidRDefault="002E60DE" w:rsidP="00486E52">
            <w:pPr>
              <w:rPr>
                <w:rStyle w:val="Emphasis"/>
                <w:i w:val="0"/>
                <w:iCs w:val="0"/>
              </w:rPr>
            </w:pPr>
            <w:r w:rsidRPr="002E60DE">
              <w:rPr>
                <w:rStyle w:val="Emphasis"/>
                <w:i w:val="0"/>
                <w:iCs w:val="0"/>
              </w:rPr>
              <w:t>20</w:t>
            </w:r>
            <w:r w:rsidR="00CE316F" w:rsidRPr="002E60DE">
              <w:rPr>
                <w:rStyle w:val="Emphasis"/>
                <w:i w:val="0"/>
                <w:iCs w:val="0"/>
              </w:rPr>
              <w:t xml:space="preserve"> Min</w:t>
            </w:r>
          </w:p>
        </w:tc>
      </w:tr>
      <w:tr w:rsidR="000A56B1" w:rsidRPr="00B11BDB" w14:paraId="557B9779" w14:textId="77777777" w:rsidTr="00611BA3">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58A28DF" w14:textId="77777777" w:rsidR="00E943D5" w:rsidRDefault="00E943D5" w:rsidP="00E943D5">
            <w:pPr>
              <w:pStyle w:val="TableSmallBlueHeading"/>
            </w:pPr>
            <w:r>
              <w:t>Accountability to Children</w:t>
            </w:r>
          </w:p>
          <w:p w14:paraId="6A23CCA3" w14:textId="77777777" w:rsidR="003958BB" w:rsidRDefault="003958BB" w:rsidP="003958BB">
            <w:pPr>
              <w:rPr>
                <w:b/>
              </w:rPr>
            </w:pPr>
            <w:r>
              <w:rPr>
                <w:b/>
              </w:rPr>
              <w:t xml:space="preserve">Instructions: </w:t>
            </w:r>
            <w:r>
              <w:t>Ask participants to discuss with the person sitting next to them what they think accountability to children means. Allow 5 minutes for a quick debate.</w:t>
            </w:r>
            <w:r>
              <w:rPr>
                <w:b/>
              </w:rPr>
              <w:t xml:space="preserve"> </w:t>
            </w:r>
          </w:p>
          <w:p w14:paraId="7A6E7EA0" w14:textId="77777777" w:rsidR="003958BB" w:rsidRDefault="003958BB" w:rsidP="003958BB">
            <w:r>
              <w:t xml:space="preserve">Invite a few remarks from the group. </w:t>
            </w:r>
          </w:p>
          <w:p w14:paraId="31563A56" w14:textId="7BFCB22A" w:rsidR="000A56B1" w:rsidRDefault="003958BB" w:rsidP="003958BB">
            <w:r>
              <w:rPr>
                <w:b/>
              </w:rPr>
              <w:t xml:space="preserve">Explain: </w:t>
            </w:r>
            <w:r>
              <w:t xml:space="preserve">All humanitarian actors have a duty to children, to contribute to their protection, ensure their safeguarding and protection from sexual abuse and exploitation and to include them in humanitarian accountability and refugee protection procedures. Children must be meaningfully engaged, </w:t>
            </w:r>
            <w:proofErr w:type="gramStart"/>
            <w:r>
              <w:t>consulted</w:t>
            </w:r>
            <w:proofErr w:type="gramEnd"/>
            <w:r>
              <w:t xml:space="preserve"> and partnered with through age- and development stage- appropriate processes.</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2DA8AA6" w14:textId="77777777" w:rsidR="000A56B1" w:rsidRDefault="000A56B1" w:rsidP="000656BC">
            <w:pPr>
              <w:pStyle w:val="TableSmallBlueHeading"/>
            </w:pPr>
          </w:p>
          <w:p w14:paraId="7505EA14" w14:textId="77777777" w:rsidR="001E6877" w:rsidRDefault="001E6877" w:rsidP="001E6877">
            <w:r>
              <w:t xml:space="preserve">Prepare breakout rooms of 2-3 people and open these for 5 minutes. </w:t>
            </w:r>
          </w:p>
          <w:p w14:paraId="5408B7B4" w14:textId="77777777" w:rsidR="001E6877" w:rsidRDefault="001E6877" w:rsidP="000656BC">
            <w:pPr>
              <w:pStyle w:val="TableSmallBlueHeading"/>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B1ABCD0" w14:textId="77777777" w:rsidR="004E5ADD" w:rsidRDefault="004E5ADD" w:rsidP="001E6877">
            <w:pPr>
              <w:pStyle w:val="TableSmallBlueHeading"/>
            </w:pPr>
          </w:p>
          <w:p w14:paraId="6D7C52A6" w14:textId="187459B3" w:rsidR="000A56B1" w:rsidRPr="000656BC" w:rsidRDefault="001E6877" w:rsidP="00486E52">
            <w:pPr>
              <w:rPr>
                <w:rStyle w:val="Emphasis"/>
                <w:i w:val="0"/>
                <w:iCs w:val="0"/>
              </w:rPr>
            </w:pPr>
            <w:r>
              <w:t>1</w:t>
            </w:r>
            <w:r w:rsidR="00A94DC6">
              <w:t>0</w:t>
            </w:r>
            <w:r w:rsidR="004E5ADD" w:rsidRPr="00D9248C">
              <w:t xml:space="preserve"> min</w:t>
            </w:r>
          </w:p>
        </w:tc>
      </w:tr>
      <w:tr w:rsidR="001E6877" w:rsidRPr="00B11BDB" w14:paraId="7819A86E" w14:textId="77777777" w:rsidTr="007D4B9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DA79016" w14:textId="77777777" w:rsidR="001E6877" w:rsidRDefault="007B115B" w:rsidP="00E943D5">
            <w:pPr>
              <w:pStyle w:val="TableSmallBlueHeading"/>
              <w:rPr>
                <w:rFonts w:ascii="Arial" w:hAnsi="Arial" w:cs="Arial"/>
              </w:rPr>
            </w:pPr>
            <w:r>
              <w:rPr>
                <w:rFonts w:ascii="Arial" w:hAnsi="Arial" w:cs="Arial"/>
              </w:rPr>
              <w:lastRenderedPageBreak/>
              <w:t>Accountability to Children in Practice</w:t>
            </w:r>
          </w:p>
          <w:p w14:paraId="3DFD9834" w14:textId="77777777" w:rsidR="00802292" w:rsidRDefault="00802292" w:rsidP="00802292">
            <w:r>
              <w:rPr>
                <w:b/>
              </w:rPr>
              <w:t xml:space="preserve">Instructions: </w:t>
            </w:r>
            <w:r>
              <w:t xml:space="preserve">show slide 58 and ask participants in small groups to read the case studies (see supporting information section) and to discuss the following questions for each of the case studies: </w:t>
            </w:r>
          </w:p>
          <w:p w14:paraId="44C4D0BE" w14:textId="77777777" w:rsidR="00802292" w:rsidRDefault="00802292" w:rsidP="00802292">
            <w:pPr>
              <w:pStyle w:val="NormalTextBulletsLevel1"/>
            </w:pPr>
            <w:r>
              <w:t>Is the action described relevant to your context?</w:t>
            </w:r>
          </w:p>
          <w:p w14:paraId="4D88D84C" w14:textId="77777777" w:rsidR="00802292" w:rsidRDefault="00802292" w:rsidP="00802292">
            <w:pPr>
              <w:pStyle w:val="NormalTextBulletsLevel1"/>
              <w:rPr>
                <w:b/>
              </w:rPr>
            </w:pPr>
            <w:r>
              <w:t>Would you encounter challenges implementing this type of activity?</w:t>
            </w:r>
          </w:p>
          <w:p w14:paraId="15DEBC32" w14:textId="77777777" w:rsidR="00802292" w:rsidRDefault="00802292" w:rsidP="00802292">
            <w:r>
              <w:t>Allow 20 minutes for reading and discussion.</w:t>
            </w:r>
          </w:p>
          <w:p w14:paraId="52352553" w14:textId="102FE268" w:rsidR="00802292" w:rsidRDefault="00802292" w:rsidP="00802292">
            <w:r>
              <w:t>Bring the group back together and ask for some reflections from each group.</w:t>
            </w:r>
          </w:p>
          <w:p w14:paraId="5BE5D118" w14:textId="77777777" w:rsidR="00802292" w:rsidRDefault="00802292" w:rsidP="00802292">
            <w:r>
              <w:t xml:space="preserve">Show slide 59 and explain what ‘Accountability to Children’ looks like in Practice. </w:t>
            </w:r>
          </w:p>
          <w:p w14:paraId="1A936DCC" w14:textId="77777777" w:rsidR="00802292" w:rsidRDefault="00802292" w:rsidP="00802292">
            <w:pPr>
              <w:pStyle w:val="NormalTextBulletsLevel1"/>
              <w:rPr>
                <w:b/>
              </w:rPr>
            </w:pPr>
            <w:r>
              <w:t xml:space="preserve">Regular, timely and accessible information sharing. </w:t>
            </w:r>
          </w:p>
          <w:p w14:paraId="24E7EA0D" w14:textId="77777777" w:rsidR="00802292" w:rsidRDefault="00802292" w:rsidP="00802292">
            <w:pPr>
              <w:pStyle w:val="NormalTextBulletsLevel1"/>
              <w:rPr>
                <w:b/>
              </w:rPr>
            </w:pPr>
            <w:r>
              <w:t xml:space="preserve">Participation – discussing together, deciding </w:t>
            </w:r>
            <w:proofErr w:type="gramStart"/>
            <w:r>
              <w:t>together</w:t>
            </w:r>
            <w:proofErr w:type="gramEnd"/>
            <w:r>
              <w:t xml:space="preserve"> and working together with children.</w:t>
            </w:r>
          </w:p>
          <w:p w14:paraId="700ABE60" w14:textId="77777777" w:rsidR="00802292" w:rsidRDefault="00802292" w:rsidP="00802292">
            <w:pPr>
              <w:pStyle w:val="NormalTextBulletsLevel1"/>
              <w:rPr>
                <w:b/>
              </w:rPr>
            </w:pPr>
            <w:r>
              <w:t>Proactively seeking feedback from children and handling their complaints.</w:t>
            </w:r>
          </w:p>
          <w:p w14:paraId="673657EB" w14:textId="77777777" w:rsidR="00802292" w:rsidRDefault="00802292" w:rsidP="00802292">
            <w:pPr>
              <w:pStyle w:val="NormalTextBulletsLevel1"/>
              <w:rPr>
                <w:b/>
              </w:rPr>
            </w:pPr>
            <w:r>
              <w:t xml:space="preserve">Monitoring, </w:t>
            </w:r>
            <w:proofErr w:type="gramStart"/>
            <w:r>
              <w:t>evaluating</w:t>
            </w:r>
            <w:proofErr w:type="gramEnd"/>
            <w:r>
              <w:t xml:space="preserve"> and learning: giving a voice to children in our monitoring and evaluation exercises. </w:t>
            </w:r>
          </w:p>
          <w:p w14:paraId="23ACED50" w14:textId="77777777" w:rsidR="007B115B" w:rsidRPr="00630582" w:rsidRDefault="00802292" w:rsidP="00E943D5">
            <w:pPr>
              <w:pStyle w:val="NormalTextBulletsLevel1"/>
              <w:rPr>
                <w:b/>
              </w:rPr>
            </w:pPr>
            <w:r>
              <w:t>Strengthening staff skills in accountable programming.</w:t>
            </w:r>
          </w:p>
          <w:p w14:paraId="460C67E7" w14:textId="6B2333BC" w:rsidR="00630582" w:rsidRPr="008E2B39" w:rsidRDefault="00630582" w:rsidP="00630582">
            <w:pPr>
              <w:pStyle w:val="NormalTextBulletsLevel1"/>
              <w:numPr>
                <w:ilvl w:val="0"/>
                <w:numId w:val="0"/>
              </w:numPr>
              <w:ind w:left="641"/>
              <w:rPr>
                <w:b/>
              </w:rPr>
            </w:pP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BF3268D" w14:textId="77777777" w:rsidR="001E6877" w:rsidRPr="008E2B39" w:rsidRDefault="001E6877" w:rsidP="008E2B39">
            <w:pPr>
              <w:pStyle w:val="TableSmallBlueHeading"/>
            </w:pPr>
          </w:p>
          <w:p w14:paraId="3A1AD9D9" w14:textId="77777777" w:rsidR="008E2B39" w:rsidRDefault="008E2B39" w:rsidP="008E2B39">
            <w:r>
              <w:t>Prepare breakout rooms of 4-5 people. Share the case studies or a link to the case studies via the chat.</w:t>
            </w:r>
          </w:p>
          <w:p w14:paraId="33241F97" w14:textId="77777777" w:rsidR="008E2B39" w:rsidRDefault="008E2B39" w:rsidP="008E2B39">
            <w:r>
              <w:t>Copy and paste the questions into the chat.</w:t>
            </w:r>
          </w:p>
          <w:p w14:paraId="0BDCC1D2" w14:textId="77777777" w:rsidR="008E2B39" w:rsidRDefault="008E2B39" w:rsidP="008E2B39">
            <w:r>
              <w:t xml:space="preserve">Launch the breakout rooms for 20 minutes and circulate between the groups to support as required. </w:t>
            </w:r>
          </w:p>
          <w:p w14:paraId="64FAECDF" w14:textId="77777777" w:rsidR="008E2B39" w:rsidRDefault="008E2B39" w:rsidP="000656BC">
            <w:pPr>
              <w:pStyle w:val="TableSmallBlueHeading"/>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F8EB4EF" w14:textId="77777777" w:rsidR="008E2B39" w:rsidRDefault="008E2B39" w:rsidP="008E2B39">
            <w:pPr>
              <w:pStyle w:val="TableSmallBlueHeading"/>
            </w:pPr>
          </w:p>
          <w:p w14:paraId="095E0CB1" w14:textId="6C017913" w:rsidR="001E6877" w:rsidRDefault="008E2B39" w:rsidP="008E2B39">
            <w:r>
              <w:t>10</w:t>
            </w:r>
            <w:r w:rsidRPr="00D9248C">
              <w:t xml:space="preserve"> min</w:t>
            </w:r>
          </w:p>
        </w:tc>
      </w:tr>
      <w:tr w:rsidR="008E2B39" w:rsidRPr="00B11BDB" w14:paraId="354E4CD5" w14:textId="77777777" w:rsidTr="007D4B9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B6D7B0F" w14:textId="77777777" w:rsidR="00630582" w:rsidRPr="007D4B96" w:rsidRDefault="00630582" w:rsidP="00630582">
            <w:pPr>
              <w:pStyle w:val="TableSmallBlueHeading"/>
            </w:pPr>
            <w:r w:rsidRPr="007D4B96">
              <w:lastRenderedPageBreak/>
              <w:t>Session wrap-up</w:t>
            </w:r>
          </w:p>
          <w:p w14:paraId="3CAD5329" w14:textId="19CC028F" w:rsidR="00990720" w:rsidRPr="007D4B96" w:rsidRDefault="00990720" w:rsidP="00990720">
            <w:r w:rsidRPr="007D4B96">
              <w:t>Remind participants that they can use their learning log at any time to make a note of key learnings and wrap up the session by showing slide 60. </w:t>
            </w:r>
          </w:p>
          <w:p w14:paraId="605C2715" w14:textId="77777777" w:rsidR="00990720" w:rsidRPr="007D4B96" w:rsidRDefault="00990720" w:rsidP="00990720">
            <w:r w:rsidRPr="007D4B96">
              <w:t>Reflective practice suggested questions: </w:t>
            </w:r>
          </w:p>
          <w:p w14:paraId="4A542CA4" w14:textId="77777777" w:rsidR="00990720" w:rsidRDefault="00990720" w:rsidP="00990720">
            <w:pPr>
              <w:pStyle w:val="NormalTextBulletsLevel1"/>
            </w:pPr>
            <w:r>
              <w:t>What can you do with what you have learnt today about accountability to children?</w:t>
            </w:r>
          </w:p>
          <w:p w14:paraId="580FB553" w14:textId="1A416B85" w:rsidR="008E2B39" w:rsidRDefault="00990720" w:rsidP="00990720">
            <w:pPr>
              <w:pStyle w:val="NormalTextBulletsLevel1"/>
            </w:pPr>
            <w:r>
              <w:t>What is the most important thing you have learnt?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DAC0691" w14:textId="77777777" w:rsidR="008E2B39" w:rsidRPr="008E2B39" w:rsidRDefault="008E2B39" w:rsidP="008E2B39">
            <w:pPr>
              <w:pStyle w:val="TableSmallBlueHeading"/>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4031CA0" w14:textId="77777777" w:rsidR="00990720" w:rsidRDefault="00990720" w:rsidP="00990720">
            <w:pPr>
              <w:pStyle w:val="TableSmallBlueHeading"/>
            </w:pPr>
          </w:p>
          <w:p w14:paraId="7B84EB92" w14:textId="240D16D1" w:rsidR="008E2B39" w:rsidRDefault="00E6677B" w:rsidP="00990720">
            <w:r>
              <w:t>8</w:t>
            </w:r>
            <w:r w:rsidR="00990720" w:rsidRPr="00D9248C">
              <w:t xml:space="preserve"> min</w:t>
            </w:r>
          </w:p>
        </w:tc>
      </w:tr>
    </w:tbl>
    <w:p w14:paraId="29EBB6D8" w14:textId="77777777" w:rsidR="001460F9" w:rsidRDefault="001460F9" w:rsidP="00486E52"/>
    <w:p w14:paraId="63EACC66" w14:textId="77777777" w:rsidR="001460F9" w:rsidRDefault="001460F9" w:rsidP="001460F9">
      <w:pPr>
        <w:pStyle w:val="1Heading1"/>
        <w:rPr>
          <w:rFonts w:eastAsia="Roboto Condensed"/>
        </w:rPr>
      </w:pPr>
      <w:r>
        <w:rPr>
          <w:rFonts w:eastAsia="Roboto Condensed"/>
        </w:rPr>
        <w:t>Supporting Information</w:t>
      </w:r>
    </w:p>
    <w:p w14:paraId="4C81767F" w14:textId="77777777" w:rsidR="00C22F42" w:rsidRDefault="00C22F42" w:rsidP="00C22F42">
      <w:r>
        <w:t>Consulting with Children in the Typhoon Haiyan Assessment.</w:t>
      </w:r>
    </w:p>
    <w:p w14:paraId="1DABC380" w14:textId="77777777" w:rsidR="00C22F42" w:rsidRDefault="00C22F42" w:rsidP="00C22F42">
      <w:r>
        <w:t xml:space="preserve">Save the Children and other agencies carried out a Children’s Multi-sectoral Initial Rapid Assessment (MIRA) during the Typhoon Haiyan Response in the Philippines in 2013, involving 124 children. The findings informed Save the Children’s interventions and the organisation implemented a child-focused response with high levels of satisfaction from children, according to the Evaluation of Humanitarian Action (2015). Significantly, it also informed the Children’s Relief and Protection Act adopted by the Philippine government in 2016, which provides a legal framework for future emergencies, including the need to involve children in preparedness and provide a comprehensive response for children, including child participation. </w:t>
      </w:r>
    </w:p>
    <w:p w14:paraId="6177C56A" w14:textId="77777777" w:rsidR="00C22F42" w:rsidRDefault="00C22F42" w:rsidP="00C22F42">
      <w:r>
        <w:t xml:space="preserve">Child-Friendly User-centred Design in Iraq and Bangladesh. </w:t>
      </w:r>
    </w:p>
    <w:p w14:paraId="4ADD4B06" w14:textId="77777777" w:rsidR="00C22F42" w:rsidRDefault="00C22F42" w:rsidP="00C22F42">
      <w:r>
        <w:t xml:space="preserve">Save the Children and Eclipse Experience implemented a project to design child-friendly latrines in Iraq and Bangladesh. The methodology involved consultations with children using interactive illustrations on tablets, where children could point to problematic areas in latrines and </w:t>
      </w:r>
      <w:r>
        <w:lastRenderedPageBreak/>
        <w:t>hand washing facilities. Co-creation sessions were then held with children to explore the causes of identified issues and come up with ideas for new designs. After the construction was completed the follow-up survey showed high levels of satisfaction. This easy, engaging, time-sensitive and accessible approach is user-centred for both beneficiaries and field staff. Learning from this pilot shows that the capacity to facilitate the co-creation session is crucial and requires investment in training. The need for organisational and staff commitment to drive forward the approach is also essential. In theory, this model could be used for other sectors and contexts.</w:t>
      </w:r>
    </w:p>
    <w:p w14:paraId="26940504" w14:textId="77777777" w:rsidR="00C22F42" w:rsidRDefault="00C22F42" w:rsidP="00C22F42"/>
    <w:p w14:paraId="17912A25" w14:textId="77777777" w:rsidR="00C22F42" w:rsidRDefault="00C22F42" w:rsidP="00C22F42">
      <w:r>
        <w:t>Child Rights Programming in South Sudan.</w:t>
      </w:r>
    </w:p>
    <w:p w14:paraId="370A900E" w14:textId="77777777" w:rsidR="00C22F42" w:rsidRDefault="00C22F42" w:rsidP="00C22F42">
      <w:r>
        <w:t>From 2016 – 2017, in Aweil East, Save the Children implemented a social accountability project in 10 schools. Children used scorecards to collect evidence on key indicators, analysed the data and presented the report to the government, which led to training of teachers, new boreholes drilled in schools to provide clean drinking water and the construction of separate latrines for boys and girls. In 2016, Save the Children (funded by DANIDA) set up the Child Rights Engagement Platform with refugees and host community members in Maban. Four Child Rights Committees (CRCs) were responsible for identifying and addressing local child rights issues and leading community awareness campaigns. Children from Child Rights Clubs engaged with the CRCs, who would then raise their concerns and ideas with local authorities, camp leaders, UNHCR and partner agencies.</w:t>
      </w:r>
    </w:p>
    <w:p w14:paraId="2B452EEC" w14:textId="77777777" w:rsidR="00C22F42" w:rsidRDefault="00C22F42" w:rsidP="00C22F42"/>
    <w:p w14:paraId="1825D24D" w14:textId="77777777" w:rsidR="00C22F42" w:rsidRDefault="00C22F42" w:rsidP="00C22F42">
      <w:r>
        <w:t xml:space="preserve">Child-Sensitive Cash Programming in Bangladesh. </w:t>
      </w:r>
    </w:p>
    <w:p w14:paraId="7E01A125" w14:textId="77777777" w:rsidR="00C22F42" w:rsidRDefault="00C22F42" w:rsidP="00C22F42">
      <w:r>
        <w:t>Save the Children implemented a Child-Sensitive Social Protection programme in 22 Union Parishads in the Mymensingh and Netrokona districts of Bangladesh in 2011. Children established a set of principles intended to guide the attitudes and behaviours of adults towards children (e.g. children should not be engaged in work that is harmful to them). When receiving the cash transfer, individuals were asked to sign a pledge to commit to these “child-sensitive social norms” and a community group was set up to monitor the child rights situation.</w:t>
      </w:r>
    </w:p>
    <w:p w14:paraId="1F900C18" w14:textId="77777777" w:rsidR="00C22F42" w:rsidRDefault="00C22F42" w:rsidP="00C22F42">
      <w:r>
        <w:t>Community and child participation at the heart of Improving Learning Environments Together (ILET).</w:t>
      </w:r>
    </w:p>
    <w:p w14:paraId="7B6A5E13" w14:textId="3A633DEF" w:rsidR="007D4B96" w:rsidRDefault="00C22F42" w:rsidP="00C22F42">
      <w:r>
        <w:lastRenderedPageBreak/>
        <w:t xml:space="preserve"> Save the Children developed the Improving Learning Environments Together (ILET) approach to combat challenges in measuring the quality of education in emergencies, </w:t>
      </w:r>
      <w:proofErr w:type="gramStart"/>
      <w:r>
        <w:t>including:</w:t>
      </w:r>
      <w:proofErr w:type="gramEnd"/>
      <w:r>
        <w:t xml:space="preserve"> limited engagement of school communities, children, teachers, head teachers and local actors in assessment and planning and top-down decisions and interventions. Meaningful community and child participation lies at the heart of ILET. The ILET package consists of several tools which guide the project team through a participatory process with the community: firstly, supporting them in examining the school or learning environment, then in analysing the findings and developing and implementing a School Improvement Plan (SIP). Save the Children piloted IELT in 2017-2018 in five schools and learning spaces in Adjumani, </w:t>
      </w:r>
      <w:proofErr w:type="gramStart"/>
      <w:r>
        <w:t>North West</w:t>
      </w:r>
      <w:proofErr w:type="gramEnd"/>
      <w:r>
        <w:t xml:space="preserve"> Uganda (in the South Sudanese refugee response) and in five schools and learning spaces in Idlib and Aleppo governorates, North West Syria. The results showed improvements across all schools and learning spaces and led to a scaling up to 31 and 20 additional schools and learning spaces in Uganda and Syria respectively in 2018-2019.</w:t>
      </w:r>
    </w:p>
    <w:p w14:paraId="74C8FA25" w14:textId="77777777" w:rsidR="007D4B96" w:rsidRDefault="007D4B96" w:rsidP="007D4B96">
      <w:pPr>
        <w:pStyle w:val="1Heading1"/>
        <w:rPr>
          <w:rFonts w:eastAsia="Roboto Condensed"/>
        </w:rPr>
      </w:pPr>
      <w:r>
        <w:rPr>
          <w:rFonts w:eastAsia="Roboto Condensed"/>
        </w:rPr>
        <w:t>Additional Resources</w:t>
      </w:r>
    </w:p>
    <w:p w14:paraId="5D314152" w14:textId="77777777" w:rsidR="007D4B96" w:rsidRDefault="00000000" w:rsidP="007D4B96">
      <w:hyperlink r:id="rId9">
        <w:r w:rsidR="007D4B96" w:rsidRPr="007D4B96">
          <w:rPr>
            <w:color w:val="0070C0"/>
            <w:u w:val="single"/>
          </w:rPr>
          <w:t>Revised Accountability to Affected Populations Commitments</w:t>
        </w:r>
      </w:hyperlink>
      <w:r w:rsidR="007D4B96" w:rsidRPr="007D4B96">
        <w:rPr>
          <w:color w:val="0070C0"/>
        </w:rPr>
        <w:t xml:space="preserve">, </w:t>
      </w:r>
      <w:r w:rsidR="007D4B96">
        <w:t>IASC, 2017</w:t>
      </w:r>
    </w:p>
    <w:p w14:paraId="45A3C593" w14:textId="77777777" w:rsidR="007D4B96" w:rsidRDefault="00000000" w:rsidP="007D4B96">
      <w:hyperlink r:id="rId10">
        <w:proofErr w:type="spellStart"/>
        <w:r w:rsidR="007D4B96" w:rsidRPr="007D4B96">
          <w:rPr>
            <w:color w:val="0070C0"/>
            <w:u w:val="single"/>
          </w:rPr>
          <w:t>Programme</w:t>
        </w:r>
        <w:proofErr w:type="spellEnd"/>
        <w:r w:rsidR="007D4B96" w:rsidRPr="007D4B96">
          <w:rPr>
            <w:color w:val="0070C0"/>
            <w:u w:val="single"/>
          </w:rPr>
          <w:t xml:space="preserve"> Accountability Guidance Pack</w:t>
        </w:r>
      </w:hyperlink>
      <w:r w:rsidR="007D4B96" w:rsidRPr="007D4B96">
        <w:rPr>
          <w:color w:val="0070C0"/>
        </w:rPr>
        <w:t xml:space="preserve">, </w:t>
      </w:r>
      <w:r w:rsidR="007D4B96">
        <w:t>Save the Children, 2013</w:t>
      </w:r>
    </w:p>
    <w:p w14:paraId="36DF69A0" w14:textId="77777777" w:rsidR="007D4B96" w:rsidRDefault="00000000" w:rsidP="007D4B96">
      <w:hyperlink r:id="rId11">
        <w:r w:rsidR="007D4B96" w:rsidRPr="007D4B96">
          <w:rPr>
            <w:color w:val="0070C0"/>
            <w:u w:val="single"/>
          </w:rPr>
          <w:t>Child Participation, Influence and Accountability in Humanitarian Response – Landscape Review</w:t>
        </w:r>
      </w:hyperlink>
      <w:r w:rsidR="007D4B96" w:rsidRPr="007D4B96">
        <w:rPr>
          <w:color w:val="0070C0"/>
        </w:rPr>
        <w:t xml:space="preserve">,  </w:t>
      </w:r>
      <w:r w:rsidR="007D4B96">
        <w:t>Save the Children, 2019</w:t>
      </w:r>
    </w:p>
    <w:p w14:paraId="584BF37D" w14:textId="77777777" w:rsidR="007D4B96" w:rsidRDefault="007D4B96" w:rsidP="00C22F42"/>
    <w:p w14:paraId="65ED83EB" w14:textId="77777777" w:rsidR="001460F9" w:rsidRPr="00272DB4" w:rsidRDefault="001460F9" w:rsidP="00486E52"/>
    <w:sectPr w:rsidR="001460F9" w:rsidRPr="00272DB4" w:rsidSect="004F0AF1">
      <w:headerReference w:type="default" r:id="rId12"/>
      <w:footerReference w:type="even" r:id="rId13"/>
      <w:footerReference w:type="default" r:id="rId14"/>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77EB8" w14:textId="77777777" w:rsidR="00224EB1" w:rsidRDefault="00224EB1" w:rsidP="00486E52">
      <w:r>
        <w:separator/>
      </w:r>
    </w:p>
  </w:endnote>
  <w:endnote w:type="continuationSeparator" w:id="0">
    <w:p w14:paraId="7085788D" w14:textId="77777777" w:rsidR="00224EB1" w:rsidRDefault="00224EB1"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altName w:val="Times New Roman"/>
    <w:panose1 w:val="02000000000000000000"/>
    <w:charset w:val="00"/>
    <w:family w:val="auto"/>
    <w:pitch w:val="variable"/>
    <w:sig w:usb0="E0000AFF" w:usb1="5000217F" w:usb2="00000021" w:usb3="00000000" w:csb0="0000019F" w:csb1="00000000"/>
  </w:font>
  <w:font w:name="Times New Roman (Headings CS)">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 w:name="Roboto Condensed">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486E5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03401" w14:textId="77777777" w:rsidR="00224EB1" w:rsidRDefault="00224EB1" w:rsidP="00486E52">
      <w:r>
        <w:separator/>
      </w:r>
    </w:p>
  </w:footnote>
  <w:footnote w:type="continuationSeparator" w:id="0">
    <w:p w14:paraId="64E43A97" w14:textId="77777777" w:rsidR="00224EB1" w:rsidRDefault="00224EB1" w:rsidP="0048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335C54"/>
    <w:multiLevelType w:val="multilevel"/>
    <w:tmpl w:val="B59C9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1164F1D"/>
    <w:multiLevelType w:val="multilevel"/>
    <w:tmpl w:val="7D187FD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47100B2"/>
    <w:multiLevelType w:val="multilevel"/>
    <w:tmpl w:val="D7043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5320521"/>
    <w:multiLevelType w:val="multilevel"/>
    <w:tmpl w:val="BF5A8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7A50067"/>
    <w:multiLevelType w:val="multilevel"/>
    <w:tmpl w:val="1A8A753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5"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D12724D"/>
    <w:multiLevelType w:val="multilevel"/>
    <w:tmpl w:val="6D607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FA66576"/>
    <w:multiLevelType w:val="multilevel"/>
    <w:tmpl w:val="56F20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1"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2"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67F4564"/>
    <w:multiLevelType w:val="multilevel"/>
    <w:tmpl w:val="828EE1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EA01865"/>
    <w:multiLevelType w:val="multilevel"/>
    <w:tmpl w:val="FD08E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222187F"/>
    <w:multiLevelType w:val="multilevel"/>
    <w:tmpl w:val="D4FC8768"/>
    <w:lvl w:ilvl="0">
      <w:start w:val="1"/>
      <w:numFmt w:val="decimal"/>
      <w:lvlText w:val="%1."/>
      <w:lvlJc w:val="left"/>
      <w:pPr>
        <w:ind w:left="720" w:hanging="360"/>
      </w:pPr>
    </w:lvl>
    <w:lvl w:ilvl="1">
      <w:start w:val="40"/>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452464"/>
    <w:multiLevelType w:val="multilevel"/>
    <w:tmpl w:val="A25C3B12"/>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27"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8" w15:restartNumberingAfterBreak="0">
    <w:nsid w:val="5645580F"/>
    <w:multiLevelType w:val="multilevel"/>
    <w:tmpl w:val="E73204A8"/>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9"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EE1DA7"/>
    <w:multiLevelType w:val="multilevel"/>
    <w:tmpl w:val="68BC7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4"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95820A3"/>
    <w:multiLevelType w:val="multilevel"/>
    <w:tmpl w:val="6ABAD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B4F16CA"/>
    <w:multiLevelType w:val="multilevel"/>
    <w:tmpl w:val="10920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1"/>
  </w:num>
  <w:num w:numId="8" w16cid:durableId="209920770">
    <w:abstractNumId w:val="12"/>
  </w:num>
  <w:num w:numId="9" w16cid:durableId="1488205232">
    <w:abstractNumId w:val="17"/>
  </w:num>
  <w:num w:numId="10" w16cid:durableId="1967618515">
    <w:abstractNumId w:val="34"/>
  </w:num>
  <w:num w:numId="11" w16cid:durableId="1737974695">
    <w:abstractNumId w:val="19"/>
  </w:num>
  <w:num w:numId="12" w16cid:durableId="778765163">
    <w:abstractNumId w:val="30"/>
  </w:num>
  <w:num w:numId="13" w16cid:durableId="1449592286">
    <w:abstractNumId w:val="11"/>
  </w:num>
  <w:num w:numId="14" w16cid:durableId="603268405">
    <w:abstractNumId w:val="20"/>
  </w:num>
  <w:num w:numId="15" w16cid:durableId="2137290702">
    <w:abstractNumId w:val="33"/>
  </w:num>
  <w:num w:numId="16" w16cid:durableId="265190426">
    <w:abstractNumId w:val="27"/>
  </w:num>
  <w:num w:numId="17" w16cid:durableId="1801337311">
    <w:abstractNumId w:val="13"/>
  </w:num>
  <w:num w:numId="18" w16cid:durableId="1542093204">
    <w:abstractNumId w:val="21"/>
  </w:num>
  <w:num w:numId="19" w16cid:durableId="869688884">
    <w:abstractNumId w:val="15"/>
  </w:num>
  <w:num w:numId="20" w16cid:durableId="1306278755">
    <w:abstractNumId w:val="29"/>
  </w:num>
  <w:num w:numId="21" w16cid:durableId="2021734704">
    <w:abstractNumId w:val="14"/>
  </w:num>
  <w:num w:numId="22" w16cid:durableId="1223516852">
    <w:abstractNumId w:val="22"/>
  </w:num>
  <w:num w:numId="23" w16cid:durableId="888153701">
    <w:abstractNumId w:val="37"/>
  </w:num>
  <w:num w:numId="24" w16cid:durableId="1692804888">
    <w:abstractNumId w:val="24"/>
  </w:num>
  <w:num w:numId="25" w16cid:durableId="646857607">
    <w:abstractNumId w:val="8"/>
  </w:num>
  <w:num w:numId="26" w16cid:durableId="1438328257">
    <w:abstractNumId w:val="32"/>
  </w:num>
  <w:num w:numId="27" w16cid:durableId="1199851882">
    <w:abstractNumId w:val="36"/>
  </w:num>
  <w:num w:numId="28" w16cid:durableId="850341243">
    <w:abstractNumId w:val="16"/>
  </w:num>
  <w:num w:numId="29" w16cid:durableId="48848180">
    <w:abstractNumId w:val="18"/>
  </w:num>
  <w:num w:numId="30" w16cid:durableId="938371069">
    <w:abstractNumId w:val="9"/>
  </w:num>
  <w:num w:numId="31" w16cid:durableId="1609848820">
    <w:abstractNumId w:val="35"/>
  </w:num>
  <w:num w:numId="32" w16cid:durableId="1549146245">
    <w:abstractNumId w:val="28"/>
  </w:num>
  <w:num w:numId="33" w16cid:durableId="1192110280">
    <w:abstractNumId w:val="6"/>
  </w:num>
  <w:num w:numId="34" w16cid:durableId="1837182224">
    <w:abstractNumId w:val="25"/>
  </w:num>
  <w:num w:numId="35" w16cid:durableId="1824345284">
    <w:abstractNumId w:val="7"/>
  </w:num>
  <w:num w:numId="36" w16cid:durableId="394818379">
    <w:abstractNumId w:val="23"/>
  </w:num>
  <w:num w:numId="37" w16cid:durableId="419064314">
    <w:abstractNumId w:val="10"/>
  </w:num>
  <w:num w:numId="38" w16cid:durableId="34693975">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256A3"/>
    <w:rsid w:val="00025BEE"/>
    <w:rsid w:val="000301FC"/>
    <w:rsid w:val="0003222E"/>
    <w:rsid w:val="00036837"/>
    <w:rsid w:val="00037DF8"/>
    <w:rsid w:val="0004041A"/>
    <w:rsid w:val="00042EFD"/>
    <w:rsid w:val="00043DF4"/>
    <w:rsid w:val="00045C6A"/>
    <w:rsid w:val="000551C1"/>
    <w:rsid w:val="000656BC"/>
    <w:rsid w:val="00066E4E"/>
    <w:rsid w:val="00070047"/>
    <w:rsid w:val="00071860"/>
    <w:rsid w:val="000815D8"/>
    <w:rsid w:val="00081AF5"/>
    <w:rsid w:val="00082945"/>
    <w:rsid w:val="000856F0"/>
    <w:rsid w:val="00096A42"/>
    <w:rsid w:val="000A1F74"/>
    <w:rsid w:val="000A56B1"/>
    <w:rsid w:val="000A6D48"/>
    <w:rsid w:val="000B3112"/>
    <w:rsid w:val="000C03A8"/>
    <w:rsid w:val="000C40FD"/>
    <w:rsid w:val="000C544D"/>
    <w:rsid w:val="000D2C9A"/>
    <w:rsid w:val="000D3E56"/>
    <w:rsid w:val="000E2D08"/>
    <w:rsid w:val="000E31FD"/>
    <w:rsid w:val="000E567A"/>
    <w:rsid w:val="000F7D38"/>
    <w:rsid w:val="00100884"/>
    <w:rsid w:val="001010FA"/>
    <w:rsid w:val="001011B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460F9"/>
    <w:rsid w:val="00151C57"/>
    <w:rsid w:val="00154743"/>
    <w:rsid w:val="00165BDB"/>
    <w:rsid w:val="001665BA"/>
    <w:rsid w:val="00167184"/>
    <w:rsid w:val="00167E70"/>
    <w:rsid w:val="00171CFC"/>
    <w:rsid w:val="0017581E"/>
    <w:rsid w:val="0018100B"/>
    <w:rsid w:val="001822CD"/>
    <w:rsid w:val="00182E1B"/>
    <w:rsid w:val="00186F81"/>
    <w:rsid w:val="001932E7"/>
    <w:rsid w:val="00194295"/>
    <w:rsid w:val="001949B4"/>
    <w:rsid w:val="00195A6F"/>
    <w:rsid w:val="001A0826"/>
    <w:rsid w:val="001A32E9"/>
    <w:rsid w:val="001A4E51"/>
    <w:rsid w:val="001A5B2E"/>
    <w:rsid w:val="001B20F0"/>
    <w:rsid w:val="001B459E"/>
    <w:rsid w:val="001C787A"/>
    <w:rsid w:val="001D0EC2"/>
    <w:rsid w:val="001D2890"/>
    <w:rsid w:val="001D3BF0"/>
    <w:rsid w:val="001E0E49"/>
    <w:rsid w:val="001E1507"/>
    <w:rsid w:val="001E6877"/>
    <w:rsid w:val="001E7894"/>
    <w:rsid w:val="001F12EA"/>
    <w:rsid w:val="001F3115"/>
    <w:rsid w:val="001F65B8"/>
    <w:rsid w:val="00200147"/>
    <w:rsid w:val="00200E93"/>
    <w:rsid w:val="00220F48"/>
    <w:rsid w:val="00221051"/>
    <w:rsid w:val="002214D0"/>
    <w:rsid w:val="00222921"/>
    <w:rsid w:val="00224EB1"/>
    <w:rsid w:val="0022703F"/>
    <w:rsid w:val="00227177"/>
    <w:rsid w:val="00232D1A"/>
    <w:rsid w:val="00233751"/>
    <w:rsid w:val="00237C12"/>
    <w:rsid w:val="0024593E"/>
    <w:rsid w:val="002615E9"/>
    <w:rsid w:val="00261C71"/>
    <w:rsid w:val="002649C8"/>
    <w:rsid w:val="00264B8C"/>
    <w:rsid w:val="00270A09"/>
    <w:rsid w:val="00272DB4"/>
    <w:rsid w:val="00273A0A"/>
    <w:rsid w:val="00274746"/>
    <w:rsid w:val="00281465"/>
    <w:rsid w:val="00283FC8"/>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E0E67"/>
    <w:rsid w:val="002E1C49"/>
    <w:rsid w:val="002E3096"/>
    <w:rsid w:val="002E51E5"/>
    <w:rsid w:val="002E60DE"/>
    <w:rsid w:val="002F31F0"/>
    <w:rsid w:val="00306D58"/>
    <w:rsid w:val="0031183C"/>
    <w:rsid w:val="0031555B"/>
    <w:rsid w:val="00315FD3"/>
    <w:rsid w:val="00320A5A"/>
    <w:rsid w:val="00322BDC"/>
    <w:rsid w:val="00332C25"/>
    <w:rsid w:val="0033320B"/>
    <w:rsid w:val="00335E68"/>
    <w:rsid w:val="0033683E"/>
    <w:rsid w:val="00336EDF"/>
    <w:rsid w:val="00337DD9"/>
    <w:rsid w:val="003452B8"/>
    <w:rsid w:val="00347B32"/>
    <w:rsid w:val="0035251E"/>
    <w:rsid w:val="0035437E"/>
    <w:rsid w:val="0035522E"/>
    <w:rsid w:val="00361A4C"/>
    <w:rsid w:val="00362AFF"/>
    <w:rsid w:val="00365D7C"/>
    <w:rsid w:val="003742FA"/>
    <w:rsid w:val="00375BF5"/>
    <w:rsid w:val="00377455"/>
    <w:rsid w:val="0038071B"/>
    <w:rsid w:val="00380AD6"/>
    <w:rsid w:val="003812E5"/>
    <w:rsid w:val="00383E42"/>
    <w:rsid w:val="0038590D"/>
    <w:rsid w:val="00390ECC"/>
    <w:rsid w:val="00395408"/>
    <w:rsid w:val="003954E3"/>
    <w:rsid w:val="003958BB"/>
    <w:rsid w:val="00395B8B"/>
    <w:rsid w:val="00397DD3"/>
    <w:rsid w:val="003A729C"/>
    <w:rsid w:val="003B184F"/>
    <w:rsid w:val="003B209D"/>
    <w:rsid w:val="003B2E76"/>
    <w:rsid w:val="003C22F3"/>
    <w:rsid w:val="003C2627"/>
    <w:rsid w:val="003C57B2"/>
    <w:rsid w:val="003C637E"/>
    <w:rsid w:val="003C7AFF"/>
    <w:rsid w:val="003D0BF0"/>
    <w:rsid w:val="003D1A61"/>
    <w:rsid w:val="003D684C"/>
    <w:rsid w:val="003E0223"/>
    <w:rsid w:val="003E3C90"/>
    <w:rsid w:val="003F1134"/>
    <w:rsid w:val="003F18FE"/>
    <w:rsid w:val="003F5443"/>
    <w:rsid w:val="003F7E98"/>
    <w:rsid w:val="00400517"/>
    <w:rsid w:val="0040409F"/>
    <w:rsid w:val="00404A60"/>
    <w:rsid w:val="00405880"/>
    <w:rsid w:val="0041017E"/>
    <w:rsid w:val="00411AF2"/>
    <w:rsid w:val="00431CCD"/>
    <w:rsid w:val="004339B1"/>
    <w:rsid w:val="00435B2C"/>
    <w:rsid w:val="004361C5"/>
    <w:rsid w:val="0044124C"/>
    <w:rsid w:val="00442077"/>
    <w:rsid w:val="00442CC5"/>
    <w:rsid w:val="00443D9A"/>
    <w:rsid w:val="00461C65"/>
    <w:rsid w:val="0046463A"/>
    <w:rsid w:val="00464ABA"/>
    <w:rsid w:val="0046604C"/>
    <w:rsid w:val="00471469"/>
    <w:rsid w:val="00472B81"/>
    <w:rsid w:val="00481F23"/>
    <w:rsid w:val="004825A4"/>
    <w:rsid w:val="0048645E"/>
    <w:rsid w:val="00486E52"/>
    <w:rsid w:val="00493694"/>
    <w:rsid w:val="00496859"/>
    <w:rsid w:val="004A30B9"/>
    <w:rsid w:val="004A69D8"/>
    <w:rsid w:val="004B2FBC"/>
    <w:rsid w:val="004B3392"/>
    <w:rsid w:val="004C6180"/>
    <w:rsid w:val="004C6C0E"/>
    <w:rsid w:val="004C7B82"/>
    <w:rsid w:val="004D125A"/>
    <w:rsid w:val="004D2441"/>
    <w:rsid w:val="004D2A08"/>
    <w:rsid w:val="004D42B9"/>
    <w:rsid w:val="004D463D"/>
    <w:rsid w:val="004D5499"/>
    <w:rsid w:val="004E4D53"/>
    <w:rsid w:val="004E50CD"/>
    <w:rsid w:val="004E5908"/>
    <w:rsid w:val="004E5ADD"/>
    <w:rsid w:val="004F0AF1"/>
    <w:rsid w:val="004F7CEE"/>
    <w:rsid w:val="00500D53"/>
    <w:rsid w:val="005072D6"/>
    <w:rsid w:val="005136AB"/>
    <w:rsid w:val="0051459F"/>
    <w:rsid w:val="00514C65"/>
    <w:rsid w:val="00520DE6"/>
    <w:rsid w:val="00520FF2"/>
    <w:rsid w:val="00522C3E"/>
    <w:rsid w:val="005265F0"/>
    <w:rsid w:val="0055332C"/>
    <w:rsid w:val="0055659B"/>
    <w:rsid w:val="00565C03"/>
    <w:rsid w:val="00566755"/>
    <w:rsid w:val="0057162C"/>
    <w:rsid w:val="00582B20"/>
    <w:rsid w:val="00583EBE"/>
    <w:rsid w:val="00586250"/>
    <w:rsid w:val="00591CD5"/>
    <w:rsid w:val="0059398D"/>
    <w:rsid w:val="005A07DB"/>
    <w:rsid w:val="005A41ED"/>
    <w:rsid w:val="005A73AB"/>
    <w:rsid w:val="005B313E"/>
    <w:rsid w:val="005B51B4"/>
    <w:rsid w:val="005B638D"/>
    <w:rsid w:val="005C243B"/>
    <w:rsid w:val="005E160D"/>
    <w:rsid w:val="005E16E1"/>
    <w:rsid w:val="005E2B0B"/>
    <w:rsid w:val="005E3A50"/>
    <w:rsid w:val="005E44A4"/>
    <w:rsid w:val="005E6D26"/>
    <w:rsid w:val="005F203E"/>
    <w:rsid w:val="005F2378"/>
    <w:rsid w:val="005F39C1"/>
    <w:rsid w:val="005F78C7"/>
    <w:rsid w:val="0060204C"/>
    <w:rsid w:val="0060646B"/>
    <w:rsid w:val="00611BA3"/>
    <w:rsid w:val="00612D9A"/>
    <w:rsid w:val="006154AB"/>
    <w:rsid w:val="006174DD"/>
    <w:rsid w:val="0062330A"/>
    <w:rsid w:val="00625385"/>
    <w:rsid w:val="006258A5"/>
    <w:rsid w:val="00626629"/>
    <w:rsid w:val="006269A6"/>
    <w:rsid w:val="0062766C"/>
    <w:rsid w:val="00630582"/>
    <w:rsid w:val="00631B59"/>
    <w:rsid w:val="00631F8E"/>
    <w:rsid w:val="00636859"/>
    <w:rsid w:val="00641768"/>
    <w:rsid w:val="00641BC1"/>
    <w:rsid w:val="00642DCD"/>
    <w:rsid w:val="00644903"/>
    <w:rsid w:val="00653019"/>
    <w:rsid w:val="00657E43"/>
    <w:rsid w:val="006606A3"/>
    <w:rsid w:val="0067105C"/>
    <w:rsid w:val="006815DF"/>
    <w:rsid w:val="00681E1E"/>
    <w:rsid w:val="00683E91"/>
    <w:rsid w:val="0068737E"/>
    <w:rsid w:val="006901CE"/>
    <w:rsid w:val="00693399"/>
    <w:rsid w:val="00694125"/>
    <w:rsid w:val="006A0D14"/>
    <w:rsid w:val="006A6E15"/>
    <w:rsid w:val="006A77BF"/>
    <w:rsid w:val="006B04FE"/>
    <w:rsid w:val="006B357B"/>
    <w:rsid w:val="006B787E"/>
    <w:rsid w:val="006C25F4"/>
    <w:rsid w:val="006C6094"/>
    <w:rsid w:val="006D4315"/>
    <w:rsid w:val="006D7B92"/>
    <w:rsid w:val="006E0372"/>
    <w:rsid w:val="006E1365"/>
    <w:rsid w:val="006F3201"/>
    <w:rsid w:val="006F4F4F"/>
    <w:rsid w:val="006F5E08"/>
    <w:rsid w:val="00702F6B"/>
    <w:rsid w:val="007048D2"/>
    <w:rsid w:val="007056C9"/>
    <w:rsid w:val="0071076A"/>
    <w:rsid w:val="00710FF4"/>
    <w:rsid w:val="007139CF"/>
    <w:rsid w:val="00716D84"/>
    <w:rsid w:val="00716F73"/>
    <w:rsid w:val="007225B3"/>
    <w:rsid w:val="00730614"/>
    <w:rsid w:val="00730F05"/>
    <w:rsid w:val="007314B0"/>
    <w:rsid w:val="007355DD"/>
    <w:rsid w:val="0074643B"/>
    <w:rsid w:val="00753919"/>
    <w:rsid w:val="00763989"/>
    <w:rsid w:val="0076516F"/>
    <w:rsid w:val="00772A49"/>
    <w:rsid w:val="007744AD"/>
    <w:rsid w:val="00781414"/>
    <w:rsid w:val="00782A35"/>
    <w:rsid w:val="007835A3"/>
    <w:rsid w:val="00795AC5"/>
    <w:rsid w:val="00796E2C"/>
    <w:rsid w:val="007A03BC"/>
    <w:rsid w:val="007A1A42"/>
    <w:rsid w:val="007A2A5B"/>
    <w:rsid w:val="007A52A6"/>
    <w:rsid w:val="007B115B"/>
    <w:rsid w:val="007B355F"/>
    <w:rsid w:val="007B51F8"/>
    <w:rsid w:val="007C0444"/>
    <w:rsid w:val="007C0D63"/>
    <w:rsid w:val="007C60E5"/>
    <w:rsid w:val="007C6D87"/>
    <w:rsid w:val="007D3BA5"/>
    <w:rsid w:val="007D4390"/>
    <w:rsid w:val="007D4B96"/>
    <w:rsid w:val="007D5D53"/>
    <w:rsid w:val="007D6403"/>
    <w:rsid w:val="007E0B29"/>
    <w:rsid w:val="007F0134"/>
    <w:rsid w:val="007F0B4D"/>
    <w:rsid w:val="007F281B"/>
    <w:rsid w:val="00802017"/>
    <w:rsid w:val="008021B3"/>
    <w:rsid w:val="00802292"/>
    <w:rsid w:val="00806858"/>
    <w:rsid w:val="00807F81"/>
    <w:rsid w:val="00832676"/>
    <w:rsid w:val="0083382F"/>
    <w:rsid w:val="00844299"/>
    <w:rsid w:val="00856CC3"/>
    <w:rsid w:val="00857BA0"/>
    <w:rsid w:val="008615D7"/>
    <w:rsid w:val="00862B76"/>
    <w:rsid w:val="00864647"/>
    <w:rsid w:val="00864971"/>
    <w:rsid w:val="0086548E"/>
    <w:rsid w:val="00871A58"/>
    <w:rsid w:val="0087299D"/>
    <w:rsid w:val="00875428"/>
    <w:rsid w:val="00881936"/>
    <w:rsid w:val="008829D9"/>
    <w:rsid w:val="00885F7C"/>
    <w:rsid w:val="00890858"/>
    <w:rsid w:val="00892759"/>
    <w:rsid w:val="00893836"/>
    <w:rsid w:val="00893E48"/>
    <w:rsid w:val="008A1ECF"/>
    <w:rsid w:val="008B039D"/>
    <w:rsid w:val="008B051C"/>
    <w:rsid w:val="008B1735"/>
    <w:rsid w:val="008B3159"/>
    <w:rsid w:val="008B462C"/>
    <w:rsid w:val="008B4B3D"/>
    <w:rsid w:val="008C2B38"/>
    <w:rsid w:val="008D06BF"/>
    <w:rsid w:val="008D073D"/>
    <w:rsid w:val="008D2CF6"/>
    <w:rsid w:val="008D3663"/>
    <w:rsid w:val="008E2B39"/>
    <w:rsid w:val="008F1B5D"/>
    <w:rsid w:val="008F2FAD"/>
    <w:rsid w:val="00901D03"/>
    <w:rsid w:val="00902254"/>
    <w:rsid w:val="00903A62"/>
    <w:rsid w:val="00904A03"/>
    <w:rsid w:val="009136B5"/>
    <w:rsid w:val="0091715B"/>
    <w:rsid w:val="00917B82"/>
    <w:rsid w:val="00920D95"/>
    <w:rsid w:val="009262C9"/>
    <w:rsid w:val="00927D93"/>
    <w:rsid w:val="0093582A"/>
    <w:rsid w:val="00954ABB"/>
    <w:rsid w:val="00954EDB"/>
    <w:rsid w:val="00955F0D"/>
    <w:rsid w:val="00955FE1"/>
    <w:rsid w:val="0095615B"/>
    <w:rsid w:val="009626FF"/>
    <w:rsid w:val="0096534F"/>
    <w:rsid w:val="00972E4E"/>
    <w:rsid w:val="00975D77"/>
    <w:rsid w:val="009779EC"/>
    <w:rsid w:val="00985A5C"/>
    <w:rsid w:val="00986AA0"/>
    <w:rsid w:val="00990720"/>
    <w:rsid w:val="00993EC3"/>
    <w:rsid w:val="00994647"/>
    <w:rsid w:val="00995B3B"/>
    <w:rsid w:val="00996059"/>
    <w:rsid w:val="009A2389"/>
    <w:rsid w:val="009A2600"/>
    <w:rsid w:val="009A4709"/>
    <w:rsid w:val="009A4F3C"/>
    <w:rsid w:val="009B2DE6"/>
    <w:rsid w:val="009B5655"/>
    <w:rsid w:val="009C7619"/>
    <w:rsid w:val="009D4400"/>
    <w:rsid w:val="009D6313"/>
    <w:rsid w:val="009E2DF3"/>
    <w:rsid w:val="009F0410"/>
    <w:rsid w:val="009F1484"/>
    <w:rsid w:val="009F2223"/>
    <w:rsid w:val="009F38FF"/>
    <w:rsid w:val="009F3BC4"/>
    <w:rsid w:val="009F4CD1"/>
    <w:rsid w:val="009F4F07"/>
    <w:rsid w:val="009F58D9"/>
    <w:rsid w:val="009F5C9B"/>
    <w:rsid w:val="00A000C1"/>
    <w:rsid w:val="00A05555"/>
    <w:rsid w:val="00A12292"/>
    <w:rsid w:val="00A22DC4"/>
    <w:rsid w:val="00A240EE"/>
    <w:rsid w:val="00A341D9"/>
    <w:rsid w:val="00A34B39"/>
    <w:rsid w:val="00A3621E"/>
    <w:rsid w:val="00A47B94"/>
    <w:rsid w:val="00A54234"/>
    <w:rsid w:val="00A55FA7"/>
    <w:rsid w:val="00A5633F"/>
    <w:rsid w:val="00A5708C"/>
    <w:rsid w:val="00A63219"/>
    <w:rsid w:val="00A70DFD"/>
    <w:rsid w:val="00A74731"/>
    <w:rsid w:val="00A80E6A"/>
    <w:rsid w:val="00A80EB3"/>
    <w:rsid w:val="00A8236D"/>
    <w:rsid w:val="00A838A4"/>
    <w:rsid w:val="00A84BBE"/>
    <w:rsid w:val="00A8663C"/>
    <w:rsid w:val="00A903D6"/>
    <w:rsid w:val="00A92CA5"/>
    <w:rsid w:val="00A94DC6"/>
    <w:rsid w:val="00A975BE"/>
    <w:rsid w:val="00AA5928"/>
    <w:rsid w:val="00AB1C5D"/>
    <w:rsid w:val="00AB5714"/>
    <w:rsid w:val="00AC392E"/>
    <w:rsid w:val="00AC4257"/>
    <w:rsid w:val="00AC4DA9"/>
    <w:rsid w:val="00AC7576"/>
    <w:rsid w:val="00AD45CF"/>
    <w:rsid w:val="00AD4B0A"/>
    <w:rsid w:val="00AD6C6D"/>
    <w:rsid w:val="00AE2006"/>
    <w:rsid w:val="00AE3120"/>
    <w:rsid w:val="00AE4304"/>
    <w:rsid w:val="00AF1F68"/>
    <w:rsid w:val="00B01D4F"/>
    <w:rsid w:val="00B03446"/>
    <w:rsid w:val="00B07F17"/>
    <w:rsid w:val="00B10652"/>
    <w:rsid w:val="00B11BDB"/>
    <w:rsid w:val="00B16526"/>
    <w:rsid w:val="00B16FFF"/>
    <w:rsid w:val="00B1716F"/>
    <w:rsid w:val="00B1753A"/>
    <w:rsid w:val="00B2036D"/>
    <w:rsid w:val="00B220A5"/>
    <w:rsid w:val="00B32228"/>
    <w:rsid w:val="00B36314"/>
    <w:rsid w:val="00B36FC2"/>
    <w:rsid w:val="00B464D0"/>
    <w:rsid w:val="00B4785C"/>
    <w:rsid w:val="00B53841"/>
    <w:rsid w:val="00B6340C"/>
    <w:rsid w:val="00B63478"/>
    <w:rsid w:val="00B6514C"/>
    <w:rsid w:val="00B71066"/>
    <w:rsid w:val="00B73412"/>
    <w:rsid w:val="00B760C7"/>
    <w:rsid w:val="00B77057"/>
    <w:rsid w:val="00B8180E"/>
    <w:rsid w:val="00B819A5"/>
    <w:rsid w:val="00B81DD7"/>
    <w:rsid w:val="00B8657B"/>
    <w:rsid w:val="00B86929"/>
    <w:rsid w:val="00B878CF"/>
    <w:rsid w:val="00B90D14"/>
    <w:rsid w:val="00B94ECB"/>
    <w:rsid w:val="00B96FA2"/>
    <w:rsid w:val="00BA2D17"/>
    <w:rsid w:val="00BA330C"/>
    <w:rsid w:val="00BB499B"/>
    <w:rsid w:val="00BB6AB0"/>
    <w:rsid w:val="00BC3463"/>
    <w:rsid w:val="00BC6BBF"/>
    <w:rsid w:val="00BD5FF8"/>
    <w:rsid w:val="00BE0CCA"/>
    <w:rsid w:val="00BE171C"/>
    <w:rsid w:val="00BE1A5E"/>
    <w:rsid w:val="00BE3942"/>
    <w:rsid w:val="00BE5504"/>
    <w:rsid w:val="00BF0E95"/>
    <w:rsid w:val="00BF0FE6"/>
    <w:rsid w:val="00BF46B5"/>
    <w:rsid w:val="00BF5183"/>
    <w:rsid w:val="00BF6052"/>
    <w:rsid w:val="00BF76FC"/>
    <w:rsid w:val="00C0084A"/>
    <w:rsid w:val="00C01F3A"/>
    <w:rsid w:val="00C0538F"/>
    <w:rsid w:val="00C147C2"/>
    <w:rsid w:val="00C22F42"/>
    <w:rsid w:val="00C36BCB"/>
    <w:rsid w:val="00C4247E"/>
    <w:rsid w:val="00C44085"/>
    <w:rsid w:val="00C455B1"/>
    <w:rsid w:val="00C51A81"/>
    <w:rsid w:val="00C53D96"/>
    <w:rsid w:val="00C6026E"/>
    <w:rsid w:val="00C61869"/>
    <w:rsid w:val="00C6507B"/>
    <w:rsid w:val="00C705B7"/>
    <w:rsid w:val="00C70E50"/>
    <w:rsid w:val="00C719CF"/>
    <w:rsid w:val="00C7494A"/>
    <w:rsid w:val="00C759D7"/>
    <w:rsid w:val="00C810E0"/>
    <w:rsid w:val="00C8203B"/>
    <w:rsid w:val="00C87763"/>
    <w:rsid w:val="00C87A43"/>
    <w:rsid w:val="00C908A7"/>
    <w:rsid w:val="00C9183D"/>
    <w:rsid w:val="00C922A4"/>
    <w:rsid w:val="00C92BE5"/>
    <w:rsid w:val="00C96D28"/>
    <w:rsid w:val="00C96D9F"/>
    <w:rsid w:val="00CA47E8"/>
    <w:rsid w:val="00CA5852"/>
    <w:rsid w:val="00CB4F5C"/>
    <w:rsid w:val="00CB6207"/>
    <w:rsid w:val="00CC21C2"/>
    <w:rsid w:val="00CC5192"/>
    <w:rsid w:val="00CD026E"/>
    <w:rsid w:val="00CD4FAA"/>
    <w:rsid w:val="00CD51C0"/>
    <w:rsid w:val="00CE0C94"/>
    <w:rsid w:val="00CE1C4E"/>
    <w:rsid w:val="00CE316F"/>
    <w:rsid w:val="00CE68EA"/>
    <w:rsid w:val="00CE72ED"/>
    <w:rsid w:val="00CF1376"/>
    <w:rsid w:val="00CF3555"/>
    <w:rsid w:val="00CF4515"/>
    <w:rsid w:val="00CF54C4"/>
    <w:rsid w:val="00CF6EB1"/>
    <w:rsid w:val="00CF70FB"/>
    <w:rsid w:val="00D0395D"/>
    <w:rsid w:val="00D07D72"/>
    <w:rsid w:val="00D16380"/>
    <w:rsid w:val="00D16741"/>
    <w:rsid w:val="00D179E0"/>
    <w:rsid w:val="00D24EC3"/>
    <w:rsid w:val="00D2619C"/>
    <w:rsid w:val="00D30BDA"/>
    <w:rsid w:val="00D314D9"/>
    <w:rsid w:val="00D33088"/>
    <w:rsid w:val="00D53831"/>
    <w:rsid w:val="00D53F8C"/>
    <w:rsid w:val="00D54152"/>
    <w:rsid w:val="00D556FE"/>
    <w:rsid w:val="00D56360"/>
    <w:rsid w:val="00D63516"/>
    <w:rsid w:val="00D82F58"/>
    <w:rsid w:val="00D85A71"/>
    <w:rsid w:val="00D9248C"/>
    <w:rsid w:val="00D9456F"/>
    <w:rsid w:val="00D95110"/>
    <w:rsid w:val="00DA6DDF"/>
    <w:rsid w:val="00DA75AC"/>
    <w:rsid w:val="00DB318A"/>
    <w:rsid w:val="00DB3372"/>
    <w:rsid w:val="00DB40A1"/>
    <w:rsid w:val="00DC0276"/>
    <w:rsid w:val="00DC1BDA"/>
    <w:rsid w:val="00DC3AA1"/>
    <w:rsid w:val="00DC4A5F"/>
    <w:rsid w:val="00DC53DB"/>
    <w:rsid w:val="00DC7807"/>
    <w:rsid w:val="00DD0F5B"/>
    <w:rsid w:val="00DD2883"/>
    <w:rsid w:val="00DD30FA"/>
    <w:rsid w:val="00DF51B8"/>
    <w:rsid w:val="00DF5CB2"/>
    <w:rsid w:val="00E0506C"/>
    <w:rsid w:val="00E11AE8"/>
    <w:rsid w:val="00E14236"/>
    <w:rsid w:val="00E15B59"/>
    <w:rsid w:val="00E1691E"/>
    <w:rsid w:val="00E234E3"/>
    <w:rsid w:val="00E2352A"/>
    <w:rsid w:val="00E27581"/>
    <w:rsid w:val="00E41763"/>
    <w:rsid w:val="00E4643A"/>
    <w:rsid w:val="00E47570"/>
    <w:rsid w:val="00E54B53"/>
    <w:rsid w:val="00E62597"/>
    <w:rsid w:val="00E62A52"/>
    <w:rsid w:val="00E63327"/>
    <w:rsid w:val="00E64495"/>
    <w:rsid w:val="00E6677B"/>
    <w:rsid w:val="00E670B8"/>
    <w:rsid w:val="00E6735A"/>
    <w:rsid w:val="00E7075D"/>
    <w:rsid w:val="00E72409"/>
    <w:rsid w:val="00E731BE"/>
    <w:rsid w:val="00E80270"/>
    <w:rsid w:val="00E83BF0"/>
    <w:rsid w:val="00E85FBB"/>
    <w:rsid w:val="00E866DC"/>
    <w:rsid w:val="00E872A5"/>
    <w:rsid w:val="00E909F0"/>
    <w:rsid w:val="00E91BD2"/>
    <w:rsid w:val="00E936D1"/>
    <w:rsid w:val="00E943D5"/>
    <w:rsid w:val="00E969B9"/>
    <w:rsid w:val="00EA083D"/>
    <w:rsid w:val="00EA12B8"/>
    <w:rsid w:val="00EA183C"/>
    <w:rsid w:val="00EA28B2"/>
    <w:rsid w:val="00EA3B39"/>
    <w:rsid w:val="00EA546B"/>
    <w:rsid w:val="00EB1CBF"/>
    <w:rsid w:val="00EB7DB1"/>
    <w:rsid w:val="00EC0390"/>
    <w:rsid w:val="00EC768B"/>
    <w:rsid w:val="00ED1EA3"/>
    <w:rsid w:val="00ED33C7"/>
    <w:rsid w:val="00ED74C7"/>
    <w:rsid w:val="00EF06A8"/>
    <w:rsid w:val="00EF1FDE"/>
    <w:rsid w:val="00EF48B2"/>
    <w:rsid w:val="00EF6BA7"/>
    <w:rsid w:val="00F11AEB"/>
    <w:rsid w:val="00F11B8A"/>
    <w:rsid w:val="00F172E9"/>
    <w:rsid w:val="00F174DA"/>
    <w:rsid w:val="00F22D66"/>
    <w:rsid w:val="00F24611"/>
    <w:rsid w:val="00F31A8A"/>
    <w:rsid w:val="00F32A42"/>
    <w:rsid w:val="00F35795"/>
    <w:rsid w:val="00F37DC5"/>
    <w:rsid w:val="00F441F4"/>
    <w:rsid w:val="00F60686"/>
    <w:rsid w:val="00F60FCC"/>
    <w:rsid w:val="00F71D9E"/>
    <w:rsid w:val="00F7245B"/>
    <w:rsid w:val="00F72BAC"/>
    <w:rsid w:val="00F72FA0"/>
    <w:rsid w:val="00F812CC"/>
    <w:rsid w:val="00F8153C"/>
    <w:rsid w:val="00F84E2D"/>
    <w:rsid w:val="00F9078B"/>
    <w:rsid w:val="00F94603"/>
    <w:rsid w:val="00F96683"/>
    <w:rsid w:val="00FA2C56"/>
    <w:rsid w:val="00FB4CB9"/>
    <w:rsid w:val="00FB5C4E"/>
    <w:rsid w:val="00FC1696"/>
    <w:rsid w:val="00FC1B61"/>
    <w:rsid w:val="00FC3B0A"/>
    <w:rsid w:val="00FC56D3"/>
    <w:rsid w:val="00FD00E0"/>
    <w:rsid w:val="00FD0106"/>
    <w:rsid w:val="00FD2DD3"/>
    <w:rsid w:val="00FD31B0"/>
    <w:rsid w:val="00FD4D05"/>
    <w:rsid w:val="00FD53A6"/>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DC3AA1"/>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val="en-GB"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ourcecentre.savethechildren.net/pdf/scn_landscape_review_child_participation_2019.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sourcecentre.savethechildren.net/pdf/programme_accountability_guidance.pdf/" TargetMode="External"/><Relationship Id="rId4" Type="http://schemas.openxmlformats.org/officeDocument/2006/relationships/settings" Target="settings.xml"/><Relationship Id="rId9" Type="http://schemas.openxmlformats.org/officeDocument/2006/relationships/hyperlink" Target="https://interagencystandingcommittee.org/iasc-revised-aap-commitments-2017-including-guidance-note-and-resource-lis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1934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36</cp:revision>
  <dcterms:created xsi:type="dcterms:W3CDTF">2024-05-13T14:51:00Z</dcterms:created>
  <dcterms:modified xsi:type="dcterms:W3CDTF">2024-05-15T12:45:00Z</dcterms:modified>
</cp:coreProperties>
</file>