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B15EA5">
      <w:r w:rsidRPr="001E7894">
        <w:rPr>
          <w:noProof/>
        </w:rPr>
        <w:drawing>
          <wp:anchor distT="0" distB="0" distL="114300" distR="114300" simplePos="0" relativeHeight="251658240" behindDoc="1" locked="0" layoutInCell="1" allowOverlap="1" wp14:anchorId="03CEFBD2" wp14:editId="19BC6C0D">
            <wp:simplePos x="0" y="0"/>
            <wp:positionH relativeFrom="margin">
              <wp:align>right</wp:align>
            </wp:positionH>
            <wp:positionV relativeFrom="paragraph">
              <wp:posOffset>0</wp:posOffset>
            </wp:positionV>
            <wp:extent cx="9096375" cy="2476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47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B15EA5">
      <w:pPr>
        <w:pStyle w:val="Heading9"/>
      </w:pPr>
      <w:bookmarkStart w:id="0" w:name="_Toc522623217"/>
      <w:r w:rsidRPr="00B86929">
        <w:t xml:space="preserve">CPHA-CPMS learning </w:t>
      </w:r>
      <w:r w:rsidR="008B051C">
        <w:t>package</w:t>
      </w:r>
    </w:p>
    <w:p w14:paraId="6704040C" w14:textId="79AE9B62" w:rsidR="00903A62" w:rsidRDefault="008B3B6A" w:rsidP="00B15EA5">
      <w:pPr>
        <w:pStyle w:val="Heading9"/>
      </w:pPr>
      <w:r w:rsidRPr="008B3B6A">
        <w:t>IM and CP Monitoring for a quality response</w:t>
      </w:r>
    </w:p>
    <w:p w14:paraId="358DD791" w14:textId="77777777" w:rsidR="002A26BD" w:rsidRDefault="002A26BD" w:rsidP="00B15EA5"/>
    <w:p w14:paraId="0560CE0C" w14:textId="77777777" w:rsidR="00890358" w:rsidRPr="00903A62" w:rsidRDefault="00890358" w:rsidP="00B15EA5"/>
    <w:bookmarkEnd w:id="0"/>
    <w:p w14:paraId="2D3B991B" w14:textId="52D33D6B" w:rsidR="007056C9" w:rsidRPr="00E0506C" w:rsidRDefault="00AC392E" w:rsidP="00B15EA5">
      <w:pPr>
        <w:pStyle w:val="1Heading1"/>
      </w:pPr>
      <w:r>
        <w:t>Objectives</w:t>
      </w:r>
    </w:p>
    <w:p w14:paraId="1E624F83" w14:textId="5F978FD9" w:rsidR="00C9183D" w:rsidRPr="007744AD" w:rsidRDefault="0041017E" w:rsidP="00B15EA5">
      <w:pPr>
        <w:pStyle w:val="TableSmallBlueHeading"/>
      </w:pPr>
      <w:bookmarkStart w:id="1" w:name="_Toc522623219"/>
      <w:r w:rsidRPr="007744AD">
        <w:t>By the end of the session, participants will be able to:</w:t>
      </w:r>
    </w:p>
    <w:bookmarkEnd w:id="1"/>
    <w:p w14:paraId="43B51F1D" w14:textId="77777777" w:rsidR="00DE7BA6" w:rsidRPr="0038643A" w:rsidRDefault="00DE7BA6" w:rsidP="00B15EA5">
      <w:pPr>
        <w:pStyle w:val="NormalTextBulletsLevel1"/>
      </w:pPr>
      <w:r w:rsidRPr="0038643A">
        <w:rPr>
          <w:highlight w:val="white"/>
        </w:rPr>
        <w:t>Describe the relevance and role of Information Management in Child Protection in Humanitarian Action</w:t>
      </w:r>
    </w:p>
    <w:p w14:paraId="1D8BB6D0" w14:textId="37E6662C" w:rsidR="007744AD" w:rsidRPr="00DE7BA6" w:rsidRDefault="00DE7BA6" w:rsidP="00B15EA5">
      <w:pPr>
        <w:pStyle w:val="NormalTextBulletsLevel1"/>
        <w:rPr>
          <w:highlight w:val="white"/>
        </w:rPr>
      </w:pPr>
      <w:r w:rsidRPr="0038643A">
        <w:rPr>
          <w:highlight w:val="white"/>
        </w:rPr>
        <w:t>Describe the relevance and role of Child Protection Monitoring in Child Protection in Humanitarian Action</w:t>
      </w:r>
      <w:r w:rsidR="007744AD" w:rsidRPr="00DE7BA6">
        <w:rPr>
          <w:highlight w:val="white"/>
        </w:rPr>
        <w:t xml:space="preserve"> </w:t>
      </w:r>
    </w:p>
    <w:p w14:paraId="2AC304A4" w14:textId="77777777" w:rsidR="000C544D" w:rsidRDefault="000C544D" w:rsidP="00B15EA5">
      <w:pPr>
        <w:pStyle w:val="1Heading1"/>
      </w:pPr>
      <w:r>
        <w:t>Key Learning Points</w:t>
      </w:r>
    </w:p>
    <w:p w14:paraId="57E88FAB" w14:textId="77777777" w:rsidR="002D3C89" w:rsidRPr="002D3C89" w:rsidRDefault="002D3C89" w:rsidP="00B15EA5">
      <w:pPr>
        <w:rPr>
          <w:b/>
        </w:rPr>
      </w:pPr>
      <w:r w:rsidRPr="002D3C89">
        <w:t xml:space="preserve">To further explore content on the key learning points listed below, please refer to the “Additional Resources” section at the end of the session. </w:t>
      </w:r>
    </w:p>
    <w:p w14:paraId="4B34AE2E" w14:textId="77777777" w:rsidR="00904182" w:rsidRPr="0038643A" w:rsidRDefault="00904182" w:rsidP="00B15EA5">
      <w:pPr>
        <w:pStyle w:val="NormalTextBulletsLevel1"/>
        <w:rPr>
          <w:color w:val="000000"/>
        </w:rPr>
      </w:pPr>
      <w:r w:rsidRPr="0038643A">
        <w:rPr>
          <w:highlight w:val="white"/>
        </w:rPr>
        <w:t>Four broad categories of information need to be managed for child protection in humanitarian action (CPHA). These are information about: the emergency situat</w:t>
      </w:r>
      <w:r>
        <w:rPr>
          <w:highlight w:val="white"/>
        </w:rPr>
        <w:t>ion and coordination mechanisms,</w:t>
      </w:r>
      <w:r w:rsidRPr="0038643A">
        <w:rPr>
          <w:highlight w:val="white"/>
        </w:rPr>
        <w:t xml:space="preserve"> the overa</w:t>
      </w:r>
      <w:r>
        <w:rPr>
          <w:highlight w:val="white"/>
        </w:rPr>
        <w:t>ll response and the CP response,</w:t>
      </w:r>
      <w:r w:rsidRPr="0038643A">
        <w:rPr>
          <w:highlight w:val="white"/>
        </w:rPr>
        <w:t xml:space="preserve"> the situation of childre</w:t>
      </w:r>
      <w:r>
        <w:rPr>
          <w:highlight w:val="white"/>
        </w:rPr>
        <w:t>n in a given context and</w:t>
      </w:r>
      <w:r w:rsidRPr="0038643A">
        <w:rPr>
          <w:highlight w:val="white"/>
        </w:rPr>
        <w:t xml:space="preserve"> information about specific children who are facing protection concerns. These categories of information should be made anonymous, processed,</w:t>
      </w:r>
      <w:r w:rsidRPr="00E13A17">
        <w:rPr>
          <w:highlight w:val="white"/>
          <w:lang w:val="en-GB"/>
        </w:rPr>
        <w:t xml:space="preserve"> analysed</w:t>
      </w:r>
      <w:r w:rsidRPr="0038643A">
        <w:rPr>
          <w:highlight w:val="white"/>
        </w:rPr>
        <w:t xml:space="preserve"> and shared to inform programmatic strategies and decisions for the protection of children. </w:t>
      </w:r>
      <w:r w:rsidRPr="0038643A">
        <w:rPr>
          <w:highlight w:val="white"/>
        </w:rPr>
        <w:lastRenderedPageBreak/>
        <w:t>Whenever appropriate, information should be shared with relevant actors to strengthen coordination, inform strategic decision-making and support advocacy. Information should only be shared according to contextualised data protection and information-sharing protocols.</w:t>
      </w:r>
    </w:p>
    <w:p w14:paraId="3F0AF872" w14:textId="77777777" w:rsidR="00904182" w:rsidRPr="0038643A" w:rsidRDefault="00904182" w:rsidP="00B15EA5">
      <w:pPr>
        <w:pStyle w:val="NormalTextBulletsLevel1"/>
        <w:rPr>
          <w:highlight w:val="white"/>
        </w:rPr>
      </w:pPr>
      <w:r w:rsidRPr="0038643A">
        <w:rPr>
          <w:highlight w:val="white"/>
        </w:rPr>
        <w:t>Child protection monitoring refers to the regular and systematic examination (monitoring) of child protection risks, violations and capacities in a specific humanitarian context. The purpose is to produce evidence that informs</w:t>
      </w:r>
      <w:r>
        <w:rPr>
          <w:highlight w:val="white"/>
        </w:rPr>
        <w:t xml:space="preserve"> and</w:t>
      </w:r>
      <w:r w:rsidRPr="0038643A">
        <w:rPr>
          <w:highlight w:val="white"/>
        </w:rPr>
        <w:t xml:space="preserve"> analyses strategies and responses. Effective monitoring is collaborative, coordinated and multi</w:t>
      </w:r>
      <w:r>
        <w:rPr>
          <w:highlight w:val="white"/>
        </w:rPr>
        <w:t>-</w:t>
      </w:r>
      <w:r w:rsidRPr="0038643A">
        <w:rPr>
          <w:highlight w:val="white"/>
        </w:rPr>
        <w:t>sectoral. The data and information collected should reflect the situation of all children and their protection risks. Risks are wide-ranging and vary according to the context.</w:t>
      </w:r>
    </w:p>
    <w:p w14:paraId="477C1D9E" w14:textId="3ED745D5" w:rsidR="00052AE1" w:rsidRDefault="00904182" w:rsidP="00B15EA5">
      <w:pPr>
        <w:pStyle w:val="NormalTextBulletsLevel1"/>
        <w:rPr>
          <w:highlight w:val="white"/>
        </w:rPr>
      </w:pPr>
      <w:r w:rsidRPr="0038643A">
        <w:rPr>
          <w:highlight w:val="white"/>
        </w:rPr>
        <w:t>Ethical considerations are essential to any form of data collection in a humanitarian operation or humanitarian setting. Collecting information for any purpose, including monitoring, assessments or surveys, can put people at risk not only because of the sensitive nature of the information collected, but also because simply participating in the process may cause people to be targeted. The risks can range from physical violence to social</w:t>
      </w:r>
      <w:r w:rsidRPr="00E13A17">
        <w:rPr>
          <w:highlight w:val="white"/>
          <w:lang w:val="en-GB"/>
        </w:rPr>
        <w:t xml:space="preserve"> marginalisation</w:t>
      </w:r>
      <w:r w:rsidRPr="0038643A">
        <w:rPr>
          <w:highlight w:val="white"/>
        </w:rPr>
        <w:t xml:space="preserve"> and are often unknown to the individual soliciting the information</w:t>
      </w:r>
    </w:p>
    <w:p w14:paraId="7488DEA0" w14:textId="77777777" w:rsidR="00B15EA5" w:rsidRDefault="00B15EA5" w:rsidP="00B15EA5">
      <w:pPr>
        <w:pStyle w:val="NormalTextBulletsLevel1"/>
        <w:numPr>
          <w:ilvl w:val="0"/>
          <w:numId w:val="0"/>
        </w:numPr>
        <w:ind w:left="641" w:hanging="357"/>
        <w:rPr>
          <w:highlight w:val="white"/>
        </w:rPr>
      </w:pPr>
    </w:p>
    <w:p w14:paraId="21906D3C" w14:textId="77777777" w:rsidR="00B15EA5" w:rsidRDefault="00B15EA5" w:rsidP="00B15EA5">
      <w:pPr>
        <w:pStyle w:val="NormalTextBulletsLevel1"/>
        <w:numPr>
          <w:ilvl w:val="0"/>
          <w:numId w:val="0"/>
        </w:numPr>
        <w:ind w:left="641" w:hanging="357"/>
        <w:rPr>
          <w:highlight w:val="white"/>
        </w:rPr>
      </w:pPr>
    </w:p>
    <w:p w14:paraId="7922C554" w14:textId="77777777" w:rsidR="00B15EA5" w:rsidRDefault="00B15EA5" w:rsidP="00B15EA5">
      <w:pPr>
        <w:pStyle w:val="NormalTextBulletsLevel1"/>
        <w:numPr>
          <w:ilvl w:val="0"/>
          <w:numId w:val="0"/>
        </w:numPr>
        <w:ind w:left="641" w:hanging="357"/>
        <w:rPr>
          <w:highlight w:val="white"/>
        </w:rPr>
      </w:pPr>
    </w:p>
    <w:p w14:paraId="03AEE16C" w14:textId="77777777" w:rsidR="00B15EA5" w:rsidRDefault="00B15EA5" w:rsidP="00B15EA5">
      <w:pPr>
        <w:pStyle w:val="NormalTextBulletsLevel1"/>
        <w:numPr>
          <w:ilvl w:val="0"/>
          <w:numId w:val="0"/>
        </w:numPr>
        <w:ind w:left="641" w:hanging="357"/>
        <w:rPr>
          <w:highlight w:val="white"/>
        </w:rPr>
      </w:pPr>
    </w:p>
    <w:p w14:paraId="1F38E84C" w14:textId="77777777" w:rsidR="00B15EA5" w:rsidRDefault="00B15EA5" w:rsidP="00B15EA5">
      <w:pPr>
        <w:pStyle w:val="NormalTextBulletsLevel1"/>
        <w:numPr>
          <w:ilvl w:val="0"/>
          <w:numId w:val="0"/>
        </w:numPr>
        <w:ind w:left="641" w:hanging="357"/>
        <w:rPr>
          <w:highlight w:val="white"/>
        </w:rPr>
      </w:pPr>
    </w:p>
    <w:p w14:paraId="28CB5727" w14:textId="77777777" w:rsidR="00B15EA5" w:rsidRDefault="00B15EA5" w:rsidP="00B15EA5">
      <w:pPr>
        <w:pStyle w:val="NormalTextBulletsLevel1"/>
        <w:numPr>
          <w:ilvl w:val="0"/>
          <w:numId w:val="0"/>
        </w:numPr>
        <w:ind w:left="641" w:hanging="357"/>
        <w:rPr>
          <w:highlight w:val="white"/>
        </w:rPr>
      </w:pPr>
    </w:p>
    <w:p w14:paraId="444ED81E" w14:textId="77777777" w:rsidR="00B15EA5" w:rsidRDefault="00B15EA5" w:rsidP="00B15EA5">
      <w:pPr>
        <w:pStyle w:val="NormalTextBulletsLevel1"/>
        <w:numPr>
          <w:ilvl w:val="0"/>
          <w:numId w:val="0"/>
        </w:numPr>
        <w:ind w:left="641" w:hanging="357"/>
        <w:rPr>
          <w:highlight w:val="white"/>
        </w:rPr>
      </w:pPr>
    </w:p>
    <w:p w14:paraId="03DA0958" w14:textId="77777777" w:rsidR="00B15EA5" w:rsidRDefault="00B15EA5" w:rsidP="00B15EA5">
      <w:pPr>
        <w:pStyle w:val="NormalTextBulletsLevel1"/>
        <w:numPr>
          <w:ilvl w:val="0"/>
          <w:numId w:val="0"/>
        </w:numPr>
        <w:ind w:left="641" w:hanging="357"/>
        <w:rPr>
          <w:highlight w:val="white"/>
        </w:rPr>
      </w:pPr>
    </w:p>
    <w:p w14:paraId="003B9888" w14:textId="77777777" w:rsidR="00B15EA5" w:rsidRDefault="00B15EA5" w:rsidP="00B15EA5">
      <w:pPr>
        <w:pStyle w:val="NormalTextBulletsLevel1"/>
        <w:numPr>
          <w:ilvl w:val="0"/>
          <w:numId w:val="0"/>
        </w:numPr>
        <w:ind w:left="641" w:hanging="357"/>
        <w:rPr>
          <w:highlight w:val="white"/>
        </w:rPr>
      </w:pPr>
    </w:p>
    <w:p w14:paraId="127095AF" w14:textId="77777777" w:rsidR="00B15EA5" w:rsidRPr="00052AE1" w:rsidRDefault="00B15EA5" w:rsidP="00B15EA5">
      <w:pPr>
        <w:pStyle w:val="NormalTextBulletsLevel1"/>
        <w:numPr>
          <w:ilvl w:val="0"/>
          <w:numId w:val="0"/>
        </w:numPr>
        <w:ind w:left="641" w:hanging="357"/>
        <w:rPr>
          <w:highlight w:val="white"/>
        </w:rPr>
      </w:pPr>
    </w:p>
    <w:p w14:paraId="49D333BA" w14:textId="46B55541" w:rsidR="00052AE1" w:rsidRPr="00052AE1" w:rsidRDefault="00052AE1" w:rsidP="00B15EA5">
      <w:pPr>
        <w:pStyle w:val="1Heading1"/>
        <w:rPr>
          <w:rFonts w:eastAsia="Arial"/>
        </w:rPr>
      </w:pPr>
      <w:r>
        <w:rPr>
          <w:rFonts w:eastAsia="Arial"/>
        </w:rPr>
        <w:lastRenderedPageBreak/>
        <w:t>Session outline</w:t>
      </w:r>
    </w:p>
    <w:p w14:paraId="5F0ABF48" w14:textId="77777777" w:rsidR="00AD45CF" w:rsidRPr="00AD45CF" w:rsidRDefault="00AD45CF" w:rsidP="00B15EA5">
      <w:pPr>
        <w:pStyle w:val="Mormal03CMIndent"/>
      </w:pPr>
      <w:r w:rsidRPr="00AD45CF">
        <w:t xml:space="preserve">*Make sure to facilitate breaks and include energizers as needed </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105F6F">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B15EA5">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B15EA5">
            <w:pPr>
              <w:pStyle w:val="TableWhiteHeadings"/>
            </w:pPr>
            <w:r w:rsidRPr="00145685">
              <w:t>Methodology</w:t>
            </w:r>
          </w:p>
        </w:tc>
        <w:tc>
          <w:tcPr>
            <w:tcW w:w="1124" w:type="dxa"/>
            <w:shd w:val="clear" w:color="auto" w:fill="415E78"/>
            <w:tcMar>
              <w:top w:w="0" w:type="dxa"/>
              <w:left w:w="0" w:type="dxa"/>
              <w:bottom w:w="0" w:type="dxa"/>
              <w:right w:w="0" w:type="dxa"/>
            </w:tcMar>
            <w:vAlign w:val="center"/>
          </w:tcPr>
          <w:p w14:paraId="453E291C" w14:textId="77777777" w:rsidR="00E63327" w:rsidRPr="00145685" w:rsidRDefault="00E63327" w:rsidP="00B15EA5">
            <w:pPr>
              <w:pStyle w:val="TableWhiteHeadings"/>
            </w:pPr>
            <w:r w:rsidRPr="00145685">
              <w:t>Time</w:t>
            </w:r>
          </w:p>
        </w:tc>
      </w:tr>
      <w:tr w:rsidR="00972E4E" w14:paraId="3C9B36A7"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2566DBA1" w:rsidR="00972E4E" w:rsidRPr="00B07F17" w:rsidRDefault="00A5708C" w:rsidP="00B15EA5">
            <w:pPr>
              <w:pStyle w:val="NormalFontForTable"/>
            </w:pPr>
            <w:r w:rsidRPr="00B07F17">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1545CB21" w:rsidR="00972E4E" w:rsidRPr="00B07F17" w:rsidRDefault="007D5D53" w:rsidP="00B15EA5">
            <w:pPr>
              <w:pStyle w:val="NormalFontForTable"/>
            </w:pPr>
            <w:r w:rsidRPr="00B07F17">
              <w:t>Trainer input</w:t>
            </w:r>
          </w:p>
        </w:tc>
        <w:tc>
          <w:tcPr>
            <w:tcW w:w="1124" w:type="dxa"/>
            <w:shd w:val="clear" w:color="auto" w:fill="F2F2F2" w:themeFill="background1" w:themeFillShade="F2"/>
            <w:tcMar>
              <w:top w:w="0" w:type="dxa"/>
              <w:left w:w="0" w:type="dxa"/>
              <w:bottom w:w="0" w:type="dxa"/>
              <w:right w:w="0" w:type="dxa"/>
            </w:tcMar>
            <w:vAlign w:val="center"/>
          </w:tcPr>
          <w:p w14:paraId="4DF49F97" w14:textId="355549E8" w:rsidR="00972E4E" w:rsidRPr="00B07F17" w:rsidRDefault="00127D71" w:rsidP="00B15EA5">
            <w:pPr>
              <w:pStyle w:val="NormalFontForTable"/>
            </w:pPr>
            <w:r w:rsidRPr="00B07F17">
              <w:t>2</w:t>
            </w:r>
            <w:r w:rsidR="00972E4E" w:rsidRPr="00B07F17">
              <w:t xml:space="preserve"> min</w:t>
            </w:r>
          </w:p>
        </w:tc>
      </w:tr>
      <w:tr w:rsidR="009F1484" w14:paraId="61153655" w14:textId="77777777" w:rsidTr="00105F6F">
        <w:trPr>
          <w:trHeight w:val="452"/>
        </w:trPr>
        <w:tc>
          <w:tcPr>
            <w:tcW w:w="5246" w:type="dxa"/>
            <w:shd w:val="clear" w:color="auto" w:fill="FFFFFF"/>
            <w:tcMar>
              <w:top w:w="0" w:type="dxa"/>
              <w:left w:w="0" w:type="dxa"/>
              <w:bottom w:w="0" w:type="dxa"/>
              <w:right w:w="0" w:type="dxa"/>
            </w:tcMar>
            <w:vAlign w:val="center"/>
          </w:tcPr>
          <w:p w14:paraId="298C737F" w14:textId="29BF7B08" w:rsidR="009F1484" w:rsidRPr="00B07F17" w:rsidRDefault="000E5BBA" w:rsidP="00B15EA5">
            <w:pPr>
              <w:pStyle w:val="NormalFontForTable"/>
            </w:pPr>
            <w:r>
              <w:rPr>
                <w:highlight w:val="white"/>
              </w:rPr>
              <w:t>Intro to the standards</w:t>
            </w:r>
          </w:p>
        </w:tc>
        <w:tc>
          <w:tcPr>
            <w:tcW w:w="4820" w:type="dxa"/>
            <w:shd w:val="clear" w:color="auto" w:fill="FFFFFF"/>
            <w:tcMar>
              <w:top w:w="0" w:type="dxa"/>
              <w:left w:w="0" w:type="dxa"/>
              <w:bottom w:w="0" w:type="dxa"/>
              <w:right w:w="0" w:type="dxa"/>
            </w:tcMar>
            <w:vAlign w:val="center"/>
          </w:tcPr>
          <w:p w14:paraId="0C3785EA" w14:textId="5FCD0C24" w:rsidR="009F1484" w:rsidRPr="00B07F17" w:rsidRDefault="00182998" w:rsidP="00B15EA5">
            <w:pPr>
              <w:pStyle w:val="NormalFontForTable"/>
            </w:pPr>
            <w:r>
              <w:t>Trainer input</w:t>
            </w:r>
          </w:p>
        </w:tc>
        <w:tc>
          <w:tcPr>
            <w:tcW w:w="1124" w:type="dxa"/>
            <w:shd w:val="clear" w:color="auto" w:fill="FFFFFF"/>
            <w:tcMar>
              <w:top w:w="0" w:type="dxa"/>
              <w:left w:w="0" w:type="dxa"/>
              <w:bottom w:w="0" w:type="dxa"/>
              <w:right w:w="0" w:type="dxa"/>
            </w:tcMar>
            <w:vAlign w:val="center"/>
          </w:tcPr>
          <w:p w14:paraId="49190D04" w14:textId="791841B4" w:rsidR="009F1484" w:rsidRPr="00B07F17" w:rsidRDefault="004D0009" w:rsidP="00B15EA5">
            <w:pPr>
              <w:pStyle w:val="NormalFontForTable"/>
            </w:pPr>
            <w:r>
              <w:t>5</w:t>
            </w:r>
            <w:r w:rsidR="009F1484" w:rsidRPr="00B07F17">
              <w:t xml:space="preserve"> min</w:t>
            </w:r>
          </w:p>
        </w:tc>
      </w:tr>
      <w:tr w:rsidR="00CD51C0" w14:paraId="16806087"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5F958A63" w:rsidR="00CD51C0" w:rsidRPr="00B07F17" w:rsidRDefault="00E462FB" w:rsidP="00B15EA5">
            <w:pPr>
              <w:pStyle w:val="NormalFontForTable"/>
            </w:pPr>
            <w:r w:rsidRPr="00B2335A">
              <w:t>Information needed</w:t>
            </w:r>
          </w:p>
        </w:tc>
        <w:tc>
          <w:tcPr>
            <w:tcW w:w="4820" w:type="dxa"/>
            <w:shd w:val="clear" w:color="auto" w:fill="F2F2F2" w:themeFill="background1" w:themeFillShade="F2"/>
            <w:tcMar>
              <w:top w:w="0" w:type="dxa"/>
              <w:left w:w="0" w:type="dxa"/>
              <w:bottom w:w="0" w:type="dxa"/>
              <w:right w:w="0" w:type="dxa"/>
            </w:tcMar>
            <w:vAlign w:val="center"/>
          </w:tcPr>
          <w:p w14:paraId="6CF8201B" w14:textId="150EC6B1" w:rsidR="00CD51C0" w:rsidRPr="00B07F17" w:rsidRDefault="007011B6" w:rsidP="00B15EA5">
            <w:pPr>
              <w:pStyle w:val="NormalFontForTable"/>
            </w:pPr>
            <w:r>
              <w:t>Group exercise</w:t>
            </w:r>
          </w:p>
        </w:tc>
        <w:tc>
          <w:tcPr>
            <w:tcW w:w="1124" w:type="dxa"/>
            <w:shd w:val="clear" w:color="auto" w:fill="F2F2F2" w:themeFill="background1" w:themeFillShade="F2"/>
            <w:tcMar>
              <w:top w:w="0" w:type="dxa"/>
              <w:left w:w="0" w:type="dxa"/>
              <w:bottom w:w="0" w:type="dxa"/>
              <w:right w:w="0" w:type="dxa"/>
            </w:tcMar>
            <w:vAlign w:val="center"/>
          </w:tcPr>
          <w:p w14:paraId="05F4AC3D" w14:textId="311FE905" w:rsidR="00CD51C0" w:rsidRPr="00B07F17" w:rsidRDefault="00B92B31" w:rsidP="00B15EA5">
            <w:pPr>
              <w:pStyle w:val="NormalFontForTable"/>
            </w:pPr>
            <w:r>
              <w:t>20</w:t>
            </w:r>
            <w:r w:rsidR="00CD51C0" w:rsidRPr="00B07F17">
              <w:t xml:space="preserve"> min</w:t>
            </w:r>
          </w:p>
        </w:tc>
      </w:tr>
      <w:tr w:rsidR="00C7494A" w14:paraId="22AFDF3E" w14:textId="77777777" w:rsidTr="00105F6F">
        <w:trPr>
          <w:trHeight w:val="452"/>
        </w:trPr>
        <w:tc>
          <w:tcPr>
            <w:tcW w:w="5246" w:type="dxa"/>
            <w:shd w:val="clear" w:color="auto" w:fill="FFFFFF"/>
            <w:tcMar>
              <w:top w:w="0" w:type="dxa"/>
              <w:left w:w="0" w:type="dxa"/>
              <w:bottom w:w="0" w:type="dxa"/>
              <w:right w:w="0" w:type="dxa"/>
            </w:tcMar>
            <w:vAlign w:val="center"/>
          </w:tcPr>
          <w:p w14:paraId="5603CFA4" w14:textId="7590AF4D" w:rsidR="00C7494A" w:rsidRPr="00B07F17" w:rsidRDefault="00B2335A" w:rsidP="00B15EA5">
            <w:pPr>
              <w:pStyle w:val="NormalFontForTable"/>
            </w:pPr>
            <w:r>
              <w:t>Understanding the standards</w:t>
            </w:r>
          </w:p>
        </w:tc>
        <w:tc>
          <w:tcPr>
            <w:tcW w:w="4820" w:type="dxa"/>
            <w:shd w:val="clear" w:color="auto" w:fill="FFFFFF"/>
            <w:tcMar>
              <w:top w:w="0" w:type="dxa"/>
              <w:left w:w="0" w:type="dxa"/>
              <w:bottom w:w="0" w:type="dxa"/>
              <w:right w:w="0" w:type="dxa"/>
            </w:tcMar>
            <w:vAlign w:val="center"/>
          </w:tcPr>
          <w:p w14:paraId="6B41B40C" w14:textId="2AE8604D" w:rsidR="00C7494A" w:rsidRPr="00B07F17" w:rsidRDefault="007011B6" w:rsidP="00B15EA5">
            <w:pPr>
              <w:pStyle w:val="NormalFontForTable"/>
            </w:pPr>
            <w:r>
              <w:t>Group exercise</w:t>
            </w:r>
          </w:p>
        </w:tc>
        <w:tc>
          <w:tcPr>
            <w:tcW w:w="1124" w:type="dxa"/>
            <w:shd w:val="clear" w:color="auto" w:fill="FFFFFF"/>
            <w:tcMar>
              <w:top w:w="0" w:type="dxa"/>
              <w:left w:w="0" w:type="dxa"/>
              <w:bottom w:w="0" w:type="dxa"/>
              <w:right w:w="0" w:type="dxa"/>
            </w:tcMar>
            <w:vAlign w:val="center"/>
          </w:tcPr>
          <w:p w14:paraId="52A518A9" w14:textId="6957DE31" w:rsidR="00C7494A" w:rsidRPr="00B07F17" w:rsidRDefault="00A83634" w:rsidP="00B15EA5">
            <w:pPr>
              <w:pStyle w:val="NormalFontForTable"/>
            </w:pPr>
            <w:r>
              <w:t>30</w:t>
            </w:r>
            <w:r w:rsidR="00C7494A" w:rsidRPr="00B07F17">
              <w:t xml:space="preserve"> min</w:t>
            </w:r>
          </w:p>
        </w:tc>
      </w:tr>
      <w:tr w:rsidR="00EF48B2" w14:paraId="3B56AED3"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2F4CA95E" w14:textId="260C1F83" w:rsidR="00EF48B2" w:rsidRPr="00B07F17" w:rsidRDefault="00DC0B40" w:rsidP="00B15EA5">
            <w:pPr>
              <w:pStyle w:val="NormalFontForTable"/>
            </w:pPr>
            <w:r>
              <w:t>Presenting the standards</w:t>
            </w:r>
          </w:p>
        </w:tc>
        <w:tc>
          <w:tcPr>
            <w:tcW w:w="4820" w:type="dxa"/>
            <w:shd w:val="clear" w:color="auto" w:fill="F2F2F2" w:themeFill="background1" w:themeFillShade="F2"/>
            <w:tcMar>
              <w:top w:w="0" w:type="dxa"/>
              <w:left w:w="0" w:type="dxa"/>
              <w:bottom w:w="0" w:type="dxa"/>
              <w:right w:w="0" w:type="dxa"/>
            </w:tcMar>
            <w:vAlign w:val="center"/>
          </w:tcPr>
          <w:p w14:paraId="2B0A45B4" w14:textId="3598BE69" w:rsidR="00EF48B2" w:rsidRPr="00B07F17" w:rsidRDefault="00DE2830" w:rsidP="00B15EA5">
            <w:pPr>
              <w:pStyle w:val="NormalFontForTable"/>
            </w:pPr>
            <w:r>
              <w:t>Plenary presentations</w:t>
            </w:r>
          </w:p>
        </w:tc>
        <w:tc>
          <w:tcPr>
            <w:tcW w:w="1124" w:type="dxa"/>
            <w:shd w:val="clear" w:color="auto" w:fill="F2F2F2" w:themeFill="background1" w:themeFillShade="F2"/>
            <w:tcMar>
              <w:top w:w="0" w:type="dxa"/>
              <w:left w:w="0" w:type="dxa"/>
              <w:bottom w:w="0" w:type="dxa"/>
              <w:right w:w="0" w:type="dxa"/>
            </w:tcMar>
            <w:vAlign w:val="center"/>
          </w:tcPr>
          <w:p w14:paraId="4420D9F7" w14:textId="03E9DBA0" w:rsidR="00EF48B2" w:rsidRPr="00B07F17" w:rsidRDefault="00A83634" w:rsidP="00B15EA5">
            <w:pPr>
              <w:pStyle w:val="NormalFontForTable"/>
            </w:pPr>
            <w:r>
              <w:t>20</w:t>
            </w:r>
            <w:r w:rsidR="00127D71" w:rsidRPr="00B07F17">
              <w:t xml:space="preserve"> min</w:t>
            </w:r>
          </w:p>
        </w:tc>
      </w:tr>
      <w:tr w:rsidR="00DC0B40" w14:paraId="7814CBBE" w14:textId="77777777" w:rsidTr="00105F6F">
        <w:trPr>
          <w:trHeight w:val="452"/>
        </w:trPr>
        <w:tc>
          <w:tcPr>
            <w:tcW w:w="5246" w:type="dxa"/>
            <w:shd w:val="clear" w:color="auto" w:fill="FFFFFF" w:themeFill="background1"/>
            <w:tcMar>
              <w:top w:w="0" w:type="dxa"/>
              <w:left w:w="0" w:type="dxa"/>
              <w:bottom w:w="0" w:type="dxa"/>
              <w:right w:w="0" w:type="dxa"/>
            </w:tcMar>
            <w:vAlign w:val="center"/>
          </w:tcPr>
          <w:p w14:paraId="79D903ED" w14:textId="50DDD86B" w:rsidR="00DC0B40" w:rsidRDefault="004D407C" w:rsidP="00B15EA5">
            <w:pPr>
              <w:pStyle w:val="NormalFontForTable"/>
            </w:pPr>
            <w:r>
              <w:t>Ethical Consideration for</w:t>
            </w:r>
            <w:r w:rsidRPr="0038643A">
              <w:t xml:space="preserve"> Data Collection</w:t>
            </w:r>
          </w:p>
        </w:tc>
        <w:tc>
          <w:tcPr>
            <w:tcW w:w="4820" w:type="dxa"/>
            <w:shd w:val="clear" w:color="auto" w:fill="FFFFFF" w:themeFill="background1"/>
            <w:tcMar>
              <w:top w:w="0" w:type="dxa"/>
              <w:left w:w="0" w:type="dxa"/>
              <w:bottom w:w="0" w:type="dxa"/>
              <w:right w:w="0" w:type="dxa"/>
            </w:tcMar>
            <w:vAlign w:val="center"/>
          </w:tcPr>
          <w:p w14:paraId="1578A053" w14:textId="05CFF6B3" w:rsidR="00DC0B40" w:rsidRPr="00B07F17" w:rsidRDefault="00D75DB5" w:rsidP="00B15EA5">
            <w:pPr>
              <w:pStyle w:val="NormalFontForTable"/>
            </w:pPr>
            <w:r>
              <w:t>Group matching exercise</w:t>
            </w:r>
          </w:p>
        </w:tc>
        <w:tc>
          <w:tcPr>
            <w:tcW w:w="1124" w:type="dxa"/>
            <w:shd w:val="clear" w:color="auto" w:fill="FFFFFF" w:themeFill="background1"/>
            <w:tcMar>
              <w:top w:w="0" w:type="dxa"/>
              <w:left w:w="0" w:type="dxa"/>
              <w:bottom w:w="0" w:type="dxa"/>
              <w:right w:w="0" w:type="dxa"/>
            </w:tcMar>
            <w:vAlign w:val="center"/>
          </w:tcPr>
          <w:p w14:paraId="4FAB4221" w14:textId="67891A87" w:rsidR="00DC0B40" w:rsidRDefault="008D59B8" w:rsidP="00B15EA5">
            <w:pPr>
              <w:pStyle w:val="NormalFontForTable"/>
            </w:pPr>
            <w:r>
              <w:t xml:space="preserve">15 </w:t>
            </w:r>
            <w:r w:rsidRPr="00B07F17">
              <w:t>min</w:t>
            </w:r>
          </w:p>
        </w:tc>
      </w:tr>
      <w:tr w:rsidR="004D407C" w14:paraId="445B1FF1" w14:textId="77777777" w:rsidTr="00105F6F">
        <w:trPr>
          <w:trHeight w:val="452"/>
        </w:trPr>
        <w:tc>
          <w:tcPr>
            <w:tcW w:w="5246" w:type="dxa"/>
            <w:shd w:val="clear" w:color="auto" w:fill="F2F2F2" w:themeFill="background1" w:themeFillShade="F2"/>
            <w:tcMar>
              <w:top w:w="0" w:type="dxa"/>
              <w:left w:w="0" w:type="dxa"/>
              <w:bottom w:w="0" w:type="dxa"/>
              <w:right w:w="0" w:type="dxa"/>
            </w:tcMar>
            <w:vAlign w:val="center"/>
          </w:tcPr>
          <w:p w14:paraId="0F57E315" w14:textId="59512D20" w:rsidR="004D407C" w:rsidRDefault="007E0DCC" w:rsidP="00B15EA5">
            <w:pPr>
              <w:pStyle w:val="NormalFontForTable"/>
            </w:pPr>
            <w:r>
              <w:t>Session wrap-up</w:t>
            </w:r>
          </w:p>
        </w:tc>
        <w:tc>
          <w:tcPr>
            <w:tcW w:w="4820" w:type="dxa"/>
            <w:shd w:val="clear" w:color="auto" w:fill="F2F2F2" w:themeFill="background1" w:themeFillShade="F2"/>
            <w:tcMar>
              <w:top w:w="0" w:type="dxa"/>
              <w:left w:w="0" w:type="dxa"/>
              <w:bottom w:w="0" w:type="dxa"/>
              <w:right w:w="0" w:type="dxa"/>
            </w:tcMar>
            <w:vAlign w:val="center"/>
          </w:tcPr>
          <w:p w14:paraId="39AF45EA" w14:textId="6C53C7BD" w:rsidR="004D407C" w:rsidRPr="00B07F17" w:rsidRDefault="00AB703C" w:rsidP="00B15EA5">
            <w:pPr>
              <w:pStyle w:val="NormalFontForTable"/>
            </w:pPr>
            <w:r>
              <w:t>Plenary discussion</w:t>
            </w:r>
          </w:p>
        </w:tc>
        <w:tc>
          <w:tcPr>
            <w:tcW w:w="1124" w:type="dxa"/>
            <w:shd w:val="clear" w:color="auto" w:fill="F2F2F2" w:themeFill="background1" w:themeFillShade="F2"/>
            <w:tcMar>
              <w:top w:w="0" w:type="dxa"/>
              <w:left w:w="0" w:type="dxa"/>
              <w:bottom w:w="0" w:type="dxa"/>
              <w:right w:w="0" w:type="dxa"/>
            </w:tcMar>
            <w:vAlign w:val="center"/>
          </w:tcPr>
          <w:p w14:paraId="1419FF12" w14:textId="4EFAB6E2" w:rsidR="004D407C" w:rsidRDefault="008D59B8" w:rsidP="00B15EA5">
            <w:pPr>
              <w:pStyle w:val="NormalFontForTable"/>
            </w:pPr>
            <w:r>
              <w:t xml:space="preserve">8 </w:t>
            </w:r>
            <w:r w:rsidRPr="00B07F17">
              <w:t>min</w:t>
            </w:r>
          </w:p>
        </w:tc>
      </w:tr>
      <w:tr w:rsidR="00E85FBB" w14:paraId="2E114B1F" w14:textId="77777777" w:rsidTr="00105F6F">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1B311B3D" w:rsidR="00E85FBB" w:rsidRPr="00B07F17" w:rsidRDefault="00E85FBB" w:rsidP="00B15EA5">
            <w:pPr>
              <w:pStyle w:val="NormalFontForTable"/>
            </w:pPr>
            <w:r w:rsidRPr="00B07F17">
              <w:t>Total</w:t>
            </w:r>
          </w:p>
        </w:tc>
        <w:tc>
          <w:tcPr>
            <w:tcW w:w="4820"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E85FBB" w:rsidRPr="00B07F17" w:rsidRDefault="00E85FBB" w:rsidP="00B15EA5">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4896E3CB" w:rsidR="00E85FBB" w:rsidRPr="00B07F17" w:rsidRDefault="008D59B8" w:rsidP="00B15EA5">
            <w:pPr>
              <w:pStyle w:val="NormalFontForTable"/>
            </w:pPr>
            <w:r>
              <w:t>100</w:t>
            </w:r>
            <w:r w:rsidR="00E85FBB" w:rsidRPr="00B07F17">
              <w:t xml:space="preserve"> min</w:t>
            </w:r>
          </w:p>
        </w:tc>
      </w:tr>
    </w:tbl>
    <w:p w14:paraId="28C6A920" w14:textId="77777777" w:rsidR="00FC56D3" w:rsidRDefault="00FC56D3" w:rsidP="00B15EA5">
      <w:pPr>
        <w:pStyle w:val="BulletsLevel2"/>
        <w:numPr>
          <w:ilvl w:val="0"/>
          <w:numId w:val="0"/>
        </w:numPr>
        <w:ind w:left="1208"/>
      </w:pPr>
    </w:p>
    <w:p w14:paraId="5F25182B" w14:textId="77777777" w:rsidR="00105F6F" w:rsidRDefault="00105F6F" w:rsidP="00B15EA5">
      <w:pPr>
        <w:pStyle w:val="BulletsLevel2"/>
        <w:numPr>
          <w:ilvl w:val="0"/>
          <w:numId w:val="0"/>
        </w:numPr>
        <w:ind w:left="1208"/>
      </w:pPr>
    </w:p>
    <w:p w14:paraId="4E6528AA" w14:textId="77777777" w:rsidR="00105F6F" w:rsidRDefault="00105F6F" w:rsidP="00B15EA5">
      <w:pPr>
        <w:pStyle w:val="BulletsLevel2"/>
        <w:numPr>
          <w:ilvl w:val="0"/>
          <w:numId w:val="0"/>
        </w:numPr>
        <w:ind w:left="1208"/>
      </w:pPr>
    </w:p>
    <w:p w14:paraId="3FFC8439" w14:textId="77777777" w:rsidR="00105F6F" w:rsidRDefault="00105F6F" w:rsidP="00B15EA5">
      <w:pPr>
        <w:pStyle w:val="BulletsLevel2"/>
        <w:numPr>
          <w:ilvl w:val="0"/>
          <w:numId w:val="0"/>
        </w:numPr>
        <w:ind w:left="1208"/>
      </w:pPr>
    </w:p>
    <w:p w14:paraId="45E6DF7D" w14:textId="77777777" w:rsidR="00105F6F" w:rsidRDefault="00105F6F" w:rsidP="00B15EA5">
      <w:pPr>
        <w:pStyle w:val="BulletsLevel2"/>
        <w:numPr>
          <w:ilvl w:val="0"/>
          <w:numId w:val="0"/>
        </w:numPr>
        <w:ind w:left="1208"/>
      </w:pPr>
    </w:p>
    <w:p w14:paraId="5A6D8E3E" w14:textId="77777777" w:rsidR="00105F6F" w:rsidRDefault="00105F6F" w:rsidP="00B15EA5">
      <w:pPr>
        <w:pStyle w:val="BulletsLevel2"/>
        <w:numPr>
          <w:ilvl w:val="0"/>
          <w:numId w:val="0"/>
        </w:numPr>
        <w:ind w:left="1208"/>
      </w:pPr>
    </w:p>
    <w:p w14:paraId="0FA5EFF8" w14:textId="77777777" w:rsidR="00105F6F" w:rsidRDefault="00105F6F" w:rsidP="00B15EA5">
      <w:pPr>
        <w:pStyle w:val="BulletsLevel2"/>
        <w:numPr>
          <w:ilvl w:val="0"/>
          <w:numId w:val="0"/>
        </w:numPr>
        <w:ind w:left="1208"/>
      </w:pPr>
    </w:p>
    <w:p w14:paraId="7F4AFCE3" w14:textId="77777777" w:rsidR="00105F6F" w:rsidRDefault="00105F6F" w:rsidP="00B15EA5">
      <w:pPr>
        <w:pStyle w:val="BulletsLevel2"/>
        <w:numPr>
          <w:ilvl w:val="0"/>
          <w:numId w:val="0"/>
        </w:numPr>
        <w:ind w:left="1208"/>
      </w:pPr>
    </w:p>
    <w:p w14:paraId="31BAA326" w14:textId="08F2BD0A" w:rsidR="0059398D" w:rsidRDefault="0086548E" w:rsidP="00B15EA5">
      <w:pPr>
        <w:pStyle w:val="1Heading1"/>
      </w:pPr>
      <w:r w:rsidRPr="00725D5A">
        <w:lastRenderedPageBreak/>
        <w:t>Instructions for facilitator</w:t>
      </w:r>
      <w:bookmarkStart w:id="2" w:name="_Toc522623220"/>
    </w:p>
    <w:bookmarkEnd w:id="2"/>
    <w:p w14:paraId="26DCE0D7" w14:textId="77777777" w:rsidR="00E11AE8" w:rsidRDefault="00E11AE8" w:rsidP="00B15EA5"/>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B15EA5">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B15EA5">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B15EA5">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151828" w14:textId="77777777" w:rsidR="00B96FA2" w:rsidRPr="00641BC1" w:rsidRDefault="00B96FA2" w:rsidP="00B15EA5">
            <w:pPr>
              <w:pStyle w:val="TableSmallBlueHeading"/>
            </w:pPr>
            <w:r w:rsidRPr="00641BC1">
              <w:t>Session introduction</w:t>
            </w:r>
          </w:p>
          <w:p w14:paraId="393B66EC" w14:textId="619DFEF1" w:rsidR="002F31F0" w:rsidRPr="00E72409" w:rsidRDefault="00ED7227" w:rsidP="00B15EA5">
            <w:r w:rsidRPr="0038643A">
              <w:t>Welcome participants to the session and introduce the session objectives.</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CE316F" w:rsidRPr="00F32A42" w:rsidRDefault="00CE316F" w:rsidP="00B15EA5"/>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B15EA5">
            <w:pPr>
              <w:rPr>
                <w:rStyle w:val="Emphasis"/>
                <w:i w:val="0"/>
                <w:iCs w:val="0"/>
              </w:rPr>
            </w:pPr>
          </w:p>
          <w:p w14:paraId="06C21597" w14:textId="54C998F7" w:rsidR="00CE316F" w:rsidRPr="00B11BDB" w:rsidRDefault="003F5443" w:rsidP="00B15EA5">
            <w:r>
              <w:rPr>
                <w:rStyle w:val="Emphasis"/>
                <w:i w:val="0"/>
                <w:iCs w:val="0"/>
              </w:rPr>
              <w:t>2</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8320E" w14:textId="77777777" w:rsidR="00724079" w:rsidRPr="0038643A" w:rsidRDefault="00724079" w:rsidP="00B15EA5">
            <w:pPr>
              <w:pStyle w:val="TableSmallBlueHeading"/>
              <w:rPr>
                <w:highlight w:val="white"/>
              </w:rPr>
            </w:pPr>
            <w:r w:rsidRPr="0038643A">
              <w:rPr>
                <w:highlight w:val="white"/>
              </w:rPr>
              <w:t>Intro to the standards</w:t>
            </w:r>
          </w:p>
          <w:p w14:paraId="510AE493" w14:textId="7D2D4B81" w:rsidR="009D02EB" w:rsidRPr="0038643A" w:rsidRDefault="009D02EB" w:rsidP="00B15EA5">
            <w:pPr>
              <w:rPr>
                <w:highlight w:val="white"/>
              </w:rPr>
            </w:pPr>
            <w:r w:rsidRPr="0038643A">
              <w:rPr>
                <w:highlight w:val="white"/>
              </w:rPr>
              <w:t>Provide an introduction to each standard by showing slide 44 :</w:t>
            </w:r>
          </w:p>
          <w:p w14:paraId="6ABE4C11" w14:textId="53FF49B1" w:rsidR="009D02EB" w:rsidRDefault="009D02EB" w:rsidP="00B15EA5">
            <w:pPr>
              <w:rPr>
                <w:rFonts w:cs="Arial"/>
                <w:highlight w:val="white"/>
              </w:rPr>
            </w:pPr>
            <w:r w:rsidRPr="00B15EA5">
              <w:rPr>
                <w:highlight w:val="white"/>
              </w:rPr>
              <w:t>Standard 5: Up-to-date information necessary for child protection action is collected, processed/analysed and shared according to international child protection principles and with full respect for confidentiality, data protection</w:t>
            </w:r>
            <w:r w:rsidRPr="0038643A">
              <w:rPr>
                <w:rFonts w:cs="Arial"/>
                <w:highlight w:val="white"/>
              </w:rPr>
              <w:t xml:space="preserve"> and information-sharing protocols.</w:t>
            </w:r>
          </w:p>
          <w:p w14:paraId="36133F56" w14:textId="77777777" w:rsidR="009D02EB" w:rsidRPr="0038643A" w:rsidRDefault="009D02EB" w:rsidP="00B15EA5">
            <w:pPr>
              <w:rPr>
                <w:highlight w:val="white"/>
              </w:rPr>
            </w:pPr>
          </w:p>
          <w:p w14:paraId="6F11AE94" w14:textId="199003CE" w:rsidR="009D02EB" w:rsidRPr="0038643A" w:rsidRDefault="009D02EB" w:rsidP="00B15EA5">
            <w:pPr>
              <w:rPr>
                <w:highlight w:val="white"/>
              </w:rPr>
            </w:pPr>
            <w:r w:rsidRPr="0038643A">
              <w:rPr>
                <w:highlight w:val="white"/>
              </w:rPr>
              <w:t>Standard 6: Objective and timely data and informati</w:t>
            </w:r>
            <w:r>
              <w:rPr>
                <w:highlight w:val="white"/>
              </w:rPr>
              <w:t>on on child protection risks are</w:t>
            </w:r>
            <w:r w:rsidRPr="0038643A">
              <w:rPr>
                <w:highlight w:val="white"/>
              </w:rPr>
              <w:t xml:space="preserve"> collected, managed, analysed and used in a principled, safe and collaborative manner to enable evidence-informed prevention and response actions.</w:t>
            </w:r>
          </w:p>
          <w:p w14:paraId="2194392A" w14:textId="044CF5A0" w:rsidR="009D02EB" w:rsidRPr="0038643A" w:rsidRDefault="009D02EB" w:rsidP="00B15EA5">
            <w:pPr>
              <w:rPr>
                <w:highlight w:val="white"/>
              </w:rPr>
            </w:pPr>
            <w:r w:rsidRPr="0038643A">
              <w:rPr>
                <w:highlight w:val="white"/>
              </w:rPr>
              <w:t xml:space="preserve">Child protection monitoring refers to the regular and systematic examination (monitoring) of child protection risks, violations and </w:t>
            </w:r>
            <w:r w:rsidRPr="0038643A">
              <w:rPr>
                <w:highlight w:val="white"/>
              </w:rPr>
              <w:lastRenderedPageBreak/>
              <w:t xml:space="preserve">capacities in a specific humanitarian context, to produce evidence that informs </w:t>
            </w:r>
            <w:r>
              <w:rPr>
                <w:highlight w:val="white"/>
              </w:rPr>
              <w:t xml:space="preserve">and </w:t>
            </w:r>
            <w:r w:rsidRPr="0038643A">
              <w:rPr>
                <w:highlight w:val="white"/>
              </w:rPr>
              <w:t>analyses strategies and responses.</w:t>
            </w:r>
          </w:p>
          <w:p w14:paraId="4738758A" w14:textId="1B8BE44C" w:rsidR="00710FF4" w:rsidRPr="009D02EB" w:rsidRDefault="009D02EB" w:rsidP="00B15EA5">
            <w:pPr>
              <w:rPr>
                <w:highlight w:val="white"/>
              </w:rPr>
            </w:pPr>
            <w:r w:rsidRPr="0038643A">
              <w:rPr>
                <w:highlight w:val="white"/>
              </w:rPr>
              <w:t xml:space="preserve">Check for questions so far.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00A78" w14:textId="77777777" w:rsidR="00AD4B0A" w:rsidRDefault="00AD4B0A" w:rsidP="00B15EA5"/>
          <w:p w14:paraId="21A53C8D" w14:textId="2099B368" w:rsidR="00CE316F" w:rsidRPr="008D06BF" w:rsidRDefault="00CE316F" w:rsidP="00B15EA5">
            <w:r>
              <w:br/>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Pr="00AD4B0A" w:rsidRDefault="00CE316F" w:rsidP="00B15EA5">
            <w:pPr>
              <w:rPr>
                <w:rStyle w:val="Emphasis"/>
                <w:i w:val="0"/>
                <w:iCs w:val="0"/>
              </w:rPr>
            </w:pPr>
          </w:p>
          <w:p w14:paraId="5B10A0C6" w14:textId="13F91563" w:rsidR="00CE316F" w:rsidRPr="00AD4B0A" w:rsidRDefault="00993CC6" w:rsidP="00B15EA5">
            <w:pPr>
              <w:rPr>
                <w:i/>
                <w:iCs/>
              </w:rPr>
            </w:pPr>
            <w:r>
              <w:rPr>
                <w:rStyle w:val="Emphasis"/>
                <w:i w:val="0"/>
                <w:iCs w:val="0"/>
              </w:rPr>
              <w:t>5</w:t>
            </w:r>
            <w:r w:rsidR="00CE316F" w:rsidRPr="00AD4B0A">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82CCDC6" w14:textId="77777777" w:rsidR="002732F5" w:rsidRPr="002732F5" w:rsidRDefault="002732F5" w:rsidP="00B15EA5">
            <w:pPr>
              <w:pStyle w:val="TableSmallBlueHeading"/>
            </w:pPr>
            <w:r w:rsidRPr="002732F5">
              <w:t xml:space="preserve">Information Needed: </w:t>
            </w:r>
          </w:p>
          <w:p w14:paraId="5D968D8D" w14:textId="77777777" w:rsidR="005F4E15" w:rsidRPr="005F4E15" w:rsidRDefault="005F4E15" w:rsidP="00B15EA5">
            <w:r w:rsidRPr="005F4E15">
              <w:t xml:space="preserve">Explain using slide 45: Four broad categories of information need to be managed for child protection in humanitarian action (CPHA) - information about: </w:t>
            </w:r>
          </w:p>
          <w:p w14:paraId="73C137A8" w14:textId="77777777" w:rsidR="005F4E15" w:rsidRPr="005F4E15" w:rsidRDefault="005F4E15" w:rsidP="00B15EA5">
            <w:pPr>
              <w:pStyle w:val="NormalTextBulletsLevel1"/>
            </w:pPr>
            <w:r w:rsidRPr="005F4E15">
              <w:t>the emergency situation and coordination mechanisms</w:t>
            </w:r>
          </w:p>
          <w:p w14:paraId="56811547" w14:textId="77777777" w:rsidR="005F4E15" w:rsidRPr="005F4E15" w:rsidRDefault="005F4E15" w:rsidP="00B15EA5">
            <w:pPr>
              <w:pStyle w:val="NormalTextBulletsLevel1"/>
            </w:pPr>
            <w:r w:rsidRPr="005F4E15">
              <w:t>the overall response and the CP response</w:t>
            </w:r>
          </w:p>
          <w:p w14:paraId="311A1857" w14:textId="77777777" w:rsidR="005F4E15" w:rsidRPr="005F4E15" w:rsidRDefault="005F4E15" w:rsidP="00B15EA5">
            <w:pPr>
              <w:pStyle w:val="NormalTextBulletsLevel1"/>
            </w:pPr>
            <w:r w:rsidRPr="005F4E15">
              <w:t xml:space="preserve">the situation of children in the given context  </w:t>
            </w:r>
          </w:p>
          <w:p w14:paraId="51248963" w14:textId="77777777" w:rsidR="005F4E15" w:rsidRPr="005F4E15" w:rsidRDefault="005F4E15" w:rsidP="00B15EA5">
            <w:pPr>
              <w:pStyle w:val="NormalTextBulletsLevel1"/>
            </w:pPr>
            <w:r w:rsidRPr="005F4E15">
              <w:t>information about specific children who are facing protection concerns.</w:t>
            </w:r>
          </w:p>
          <w:p w14:paraId="761A13BB" w14:textId="66417BB4" w:rsidR="005F4E15" w:rsidRPr="005F4E15" w:rsidRDefault="005F4E15" w:rsidP="00B15EA5">
            <w:r w:rsidRPr="005F4E15">
              <w:t>If, how and why information is shared needs to be carefully considered, and this standard provides guidance on this.</w:t>
            </w:r>
          </w:p>
          <w:p w14:paraId="7A559577" w14:textId="63C66BBE" w:rsidR="006012A5" w:rsidRPr="005D2465" w:rsidRDefault="005F4E15" w:rsidP="00B15EA5">
            <w:pPr>
              <w:rPr>
                <w:rStyle w:val="Emphasis"/>
                <w:i w:val="0"/>
                <w:iCs w:val="0"/>
              </w:rPr>
            </w:pPr>
            <w:r w:rsidRPr="005F4E15">
              <w:t>Instructions: (Slide 46) Write one category of information on each of 4 flip charts, then hang them around the room. Ask participants to come up with as many examples as they can from their own context of the information that could be collected for each category. They should write these on post-it notes and quickly put them up on the relevant flip chart. Allow 5 to 10 minutes for brainstorming. Review and complement where necessary.</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B15EA5"/>
          <w:p w14:paraId="4FF6F322" w14:textId="77777777" w:rsidR="006A568E" w:rsidRDefault="006A568E" w:rsidP="00B15EA5"/>
          <w:p w14:paraId="023859D2" w14:textId="77777777" w:rsidR="006A568E" w:rsidRDefault="006A568E" w:rsidP="00B15EA5"/>
          <w:p w14:paraId="483CE8DC" w14:textId="77777777" w:rsidR="006A568E" w:rsidRDefault="006A568E" w:rsidP="00B15EA5"/>
          <w:p w14:paraId="0E84C44D" w14:textId="77777777" w:rsidR="006A568E" w:rsidRDefault="006A568E" w:rsidP="00B15EA5"/>
          <w:p w14:paraId="32B57CE8" w14:textId="77777777" w:rsidR="006A568E" w:rsidRDefault="006A568E" w:rsidP="00B15EA5"/>
          <w:p w14:paraId="6B3E8A6B" w14:textId="166B7007" w:rsidR="00577067" w:rsidRPr="0038643A" w:rsidRDefault="00577067" w:rsidP="00B15EA5">
            <w:r w:rsidRPr="0038643A">
              <w:t xml:space="preserve">Set up a virtual whiteboard with one section or page for each category of information. </w:t>
            </w:r>
          </w:p>
          <w:p w14:paraId="59512D8B" w14:textId="77777777" w:rsidR="00577067" w:rsidRPr="0038643A" w:rsidRDefault="00577067" w:rsidP="00B15EA5"/>
          <w:p w14:paraId="1A4D254F" w14:textId="77777777" w:rsidR="00577067" w:rsidRPr="0038643A" w:rsidRDefault="00577067" w:rsidP="00B15EA5"/>
          <w:p w14:paraId="6742927A" w14:textId="4FE941A9" w:rsidR="00C36BCB" w:rsidRDefault="00577067" w:rsidP="00B15EA5">
            <w:r w:rsidRPr="0038643A">
              <w:t xml:space="preserve">Working individually, ask participants to add sticky notes to each section of the virtual whiteboard with examples of information that could be collected for each category. </w:t>
            </w:r>
          </w:p>
          <w:p w14:paraId="05DF16EB" w14:textId="77777777" w:rsidR="00BE0CCA" w:rsidRDefault="00BE0CCA" w:rsidP="00B15EA5"/>
          <w:p w14:paraId="7067AC8C" w14:textId="1A1B2572" w:rsidR="00C36BCB" w:rsidRPr="00C36BCB" w:rsidRDefault="00C36BCB" w:rsidP="00B15EA5"/>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B15EA5">
            <w:pPr>
              <w:rPr>
                <w:rStyle w:val="Emphasis"/>
                <w:i w:val="0"/>
                <w:iCs w:val="0"/>
              </w:rPr>
            </w:pPr>
          </w:p>
          <w:p w14:paraId="54536621" w14:textId="01F04DE6" w:rsidR="00CE316F" w:rsidRPr="005B51B4" w:rsidRDefault="005D2465" w:rsidP="00B15EA5">
            <w:pPr>
              <w:rPr>
                <w:rStyle w:val="Emphasis"/>
                <w:i w:val="0"/>
                <w:iCs w:val="0"/>
              </w:rPr>
            </w:pPr>
            <w:r>
              <w:rPr>
                <w:rStyle w:val="Emphasis"/>
                <w:i w:val="0"/>
                <w:iCs w:val="0"/>
              </w:rPr>
              <w:t>2</w:t>
            </w:r>
            <w:r w:rsidR="005B51B4" w:rsidRPr="005B51B4">
              <w:rPr>
                <w:rStyle w:val="Emphasis"/>
                <w:i w:val="0"/>
                <w:iCs w:val="0"/>
              </w:rPr>
              <w:t>0</w:t>
            </w:r>
            <w:r w:rsidR="00CE316F" w:rsidRPr="005B51B4">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1A5505" w14:textId="77777777" w:rsidR="006012A5" w:rsidRPr="0038643A" w:rsidRDefault="006012A5" w:rsidP="00B15EA5">
            <w:pPr>
              <w:pStyle w:val="TableSmallBlueHeading"/>
              <w:rPr>
                <w:highlight w:val="white"/>
              </w:rPr>
            </w:pPr>
            <w:r w:rsidRPr="0038643A">
              <w:rPr>
                <w:highlight w:val="white"/>
              </w:rPr>
              <w:lastRenderedPageBreak/>
              <w:t>Understanding the standards</w:t>
            </w:r>
          </w:p>
          <w:p w14:paraId="43181750" w14:textId="77777777" w:rsidR="009C2BB6" w:rsidRPr="0038643A" w:rsidRDefault="009C2BB6" w:rsidP="00B15EA5">
            <w:pPr>
              <w:rPr>
                <w:highlight w:val="white"/>
              </w:rPr>
            </w:pPr>
            <w:r w:rsidRPr="0038643A">
              <w:rPr>
                <w:highlight w:val="white"/>
              </w:rPr>
              <w:t xml:space="preserve">(Slide 47) Explain that you will divide the participants into small groups (note, ideally groups of 3-4 people and an even number of groups). </w:t>
            </w:r>
          </w:p>
          <w:p w14:paraId="0E433A86" w14:textId="77777777" w:rsidR="009C2BB6" w:rsidRPr="0038643A" w:rsidRDefault="009C2BB6" w:rsidP="00B15EA5">
            <w:pPr>
              <w:rPr>
                <w:highlight w:val="white"/>
              </w:rPr>
            </w:pPr>
          </w:p>
          <w:p w14:paraId="4428CDB8" w14:textId="77777777" w:rsidR="009C2BB6" w:rsidRDefault="009C2BB6" w:rsidP="00B15EA5">
            <w:pPr>
              <w:rPr>
                <w:highlight w:val="white"/>
              </w:rPr>
            </w:pPr>
            <w:r w:rsidRPr="0038643A">
              <w:rPr>
                <w:highlight w:val="white"/>
              </w:rPr>
              <w:t xml:space="preserve">Each group will be allocated one of the two standards that were just introduced. They will have 30 minutes to prepare a radio or TV advert for this standard. </w:t>
            </w:r>
            <w:r>
              <w:rPr>
                <w:highlight w:val="white"/>
              </w:rPr>
              <w:t>The advert should explain:</w:t>
            </w:r>
          </w:p>
          <w:p w14:paraId="6C68D7AB" w14:textId="77777777" w:rsidR="009C2BB6" w:rsidRDefault="009C2BB6" w:rsidP="00B15EA5">
            <w:pPr>
              <w:pStyle w:val="NormalTextBulletsLevel1"/>
              <w:rPr>
                <w:highlight w:val="white"/>
              </w:rPr>
            </w:pPr>
            <w:r>
              <w:rPr>
                <w:highlight w:val="white"/>
              </w:rPr>
              <w:t>what the standard means</w:t>
            </w:r>
          </w:p>
          <w:p w14:paraId="0D26B46F" w14:textId="77777777" w:rsidR="009C2BB6" w:rsidRPr="0038643A" w:rsidRDefault="009C2BB6" w:rsidP="00B15EA5">
            <w:pPr>
              <w:pStyle w:val="NormalTextBulletsLevel1"/>
              <w:rPr>
                <w:highlight w:val="white"/>
              </w:rPr>
            </w:pPr>
            <w:r w:rsidRPr="0038643A">
              <w:rPr>
                <w:highlight w:val="white"/>
              </w:rPr>
              <w:t>why it is important for a quality CP response</w:t>
            </w:r>
          </w:p>
          <w:p w14:paraId="20E4BCCD" w14:textId="77777777" w:rsidR="009C2BB6" w:rsidRPr="0038643A" w:rsidRDefault="009C2BB6" w:rsidP="00B15EA5">
            <w:pPr>
              <w:pStyle w:val="NormalTextBulletsLevel1"/>
              <w:rPr>
                <w:highlight w:val="white"/>
              </w:rPr>
            </w:pPr>
            <w:r w:rsidRPr="0038643A">
              <w:rPr>
                <w:highlight w:val="white"/>
              </w:rPr>
              <w:t>top tips to implement the standard (drawn from the key actions).</w:t>
            </w:r>
          </w:p>
          <w:p w14:paraId="022BB9FA" w14:textId="77777777" w:rsidR="009C2BB6" w:rsidRPr="0038643A" w:rsidRDefault="009C2BB6" w:rsidP="00B15EA5">
            <w:pPr>
              <w:rPr>
                <w:highlight w:val="white"/>
              </w:rPr>
            </w:pPr>
          </w:p>
          <w:p w14:paraId="6FB08CB7" w14:textId="37975FB5" w:rsidR="009C2BB6" w:rsidRPr="0038643A" w:rsidRDefault="009C2BB6" w:rsidP="00B15EA5">
            <w:pPr>
              <w:rPr>
                <w:highlight w:val="white"/>
              </w:rPr>
            </w:pPr>
            <w:r w:rsidRPr="0038643A">
              <w:rPr>
                <w:highlight w:val="white"/>
              </w:rPr>
              <w:t>Remind the groups that they can consult the (hard or digital) copies of the CPMS available in their preparation. Note that the guidance on each standard will be useful. Their adverts should b</w:t>
            </w:r>
            <w:r>
              <w:rPr>
                <w:highlight w:val="white"/>
              </w:rPr>
              <w:t>e 2-3 minutes long</w:t>
            </w:r>
            <w:r w:rsidRPr="0038643A">
              <w:rPr>
                <w:highlight w:val="white"/>
              </w:rPr>
              <w:t xml:space="preserve"> and they will perform them to the rest of the group later in the session. </w:t>
            </w:r>
          </w:p>
          <w:p w14:paraId="1234DB85" w14:textId="77777777" w:rsidR="00CE316F" w:rsidRDefault="009C2BB6" w:rsidP="00B15EA5">
            <w:pPr>
              <w:rPr>
                <w:highlight w:val="white"/>
              </w:rPr>
            </w:pPr>
            <w:r w:rsidRPr="0038643A">
              <w:rPr>
                <w:highlight w:val="white"/>
              </w:rPr>
              <w:t xml:space="preserve">Check for questions. Circulate between the groups to check they are on task and support as required. </w:t>
            </w:r>
            <w:r>
              <w:rPr>
                <w:highlight w:val="white"/>
              </w:rPr>
              <w:t xml:space="preserve">Provide updates on how much time is left. </w:t>
            </w:r>
          </w:p>
          <w:p w14:paraId="2563EAB0" w14:textId="0F44F32E" w:rsidR="000945C7" w:rsidRPr="00F7245B" w:rsidRDefault="000945C7" w:rsidP="00B15EA5">
            <w:pPr>
              <w:rPr>
                <w:rStyle w:val="Emphasis"/>
                <w:rFonts w:cs="Arial"/>
                <w:i w:val="0"/>
                <w:iCs w:val="0"/>
                <w:highlight w:val="white"/>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C78A5" w14:textId="77777777" w:rsidR="002E1C49" w:rsidRDefault="002E1C49" w:rsidP="00B15EA5"/>
          <w:p w14:paraId="3F2DA1A9" w14:textId="77777777" w:rsidR="009913AE" w:rsidRPr="0038643A" w:rsidRDefault="009913AE" w:rsidP="00B15EA5">
            <w:r w:rsidRPr="0038643A">
              <w:t>Prepare breakout rooms and name these according to the standards being considered by each group, e.g. IM 1, IM 2, Monitoring 1, Monitoring 2.</w:t>
            </w:r>
          </w:p>
          <w:p w14:paraId="549FAEBA" w14:textId="77777777" w:rsidR="009913AE" w:rsidRPr="0038643A" w:rsidRDefault="009913AE" w:rsidP="00B15EA5"/>
          <w:p w14:paraId="0CFF09B6" w14:textId="77777777" w:rsidR="009913AE" w:rsidRPr="0038643A" w:rsidRDefault="009913AE" w:rsidP="00B15EA5">
            <w:r w:rsidRPr="0038643A">
              <w:t xml:space="preserve">For remote, only radio plays will be feasible, so only provide this option. </w:t>
            </w:r>
          </w:p>
          <w:p w14:paraId="2F24536D" w14:textId="77777777" w:rsidR="009913AE" w:rsidRPr="0038643A" w:rsidRDefault="009913AE" w:rsidP="00B15EA5"/>
          <w:p w14:paraId="1FA13AF1" w14:textId="77777777" w:rsidR="009913AE" w:rsidRPr="0038643A" w:rsidRDefault="009913AE" w:rsidP="00B15EA5">
            <w:r w:rsidRPr="0038643A">
              <w:t>Copy and paste the bullet points into the chat.</w:t>
            </w:r>
          </w:p>
          <w:p w14:paraId="23333110" w14:textId="77777777" w:rsidR="009913AE" w:rsidRDefault="009913AE" w:rsidP="00B15EA5"/>
          <w:p w14:paraId="713465EB" w14:textId="77777777" w:rsidR="003148E3" w:rsidRDefault="003148E3" w:rsidP="00B15EA5"/>
          <w:p w14:paraId="1042D89E" w14:textId="77777777" w:rsidR="003148E3" w:rsidRPr="0038643A" w:rsidRDefault="003148E3" w:rsidP="00B15EA5"/>
          <w:p w14:paraId="7DEDE6E2" w14:textId="77777777" w:rsidR="009913AE" w:rsidRPr="0038643A" w:rsidRDefault="009913AE" w:rsidP="00B15EA5"/>
          <w:p w14:paraId="0E0C4E41" w14:textId="7E004758" w:rsidR="009913AE" w:rsidRPr="0038643A" w:rsidRDefault="009913AE" w:rsidP="00B15EA5">
            <w:r w:rsidRPr="0038643A">
              <w:t>Launch the breakout rooms.</w:t>
            </w:r>
          </w:p>
          <w:p w14:paraId="052F2826" w14:textId="0922CC6A" w:rsidR="00CE316F" w:rsidRPr="00C6026E" w:rsidRDefault="009913AE" w:rsidP="00B15EA5">
            <w:pPr>
              <w:rPr>
                <w:rStyle w:val="Emphasis"/>
                <w:rFonts w:cs="Arial"/>
                <w:b/>
                <w:i w:val="0"/>
                <w:iCs w:val="0"/>
              </w:rPr>
            </w:pPr>
            <w:r w:rsidRPr="0038643A">
              <w:t xml:space="preserve">Circulate between breakouts to support as required. Set a timer on the rooms or broadcast updates on time </w:t>
            </w:r>
            <w:r>
              <w:t>left</w:t>
            </w:r>
            <w:r w:rsidRPr="0038643A">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Pr="00954EDB" w:rsidRDefault="00CE316F" w:rsidP="00B15EA5">
            <w:pPr>
              <w:rPr>
                <w:rStyle w:val="Emphasis"/>
                <w:i w:val="0"/>
                <w:iCs w:val="0"/>
              </w:rPr>
            </w:pPr>
          </w:p>
          <w:p w14:paraId="7D23F4D8" w14:textId="14541ED6" w:rsidR="00CE316F" w:rsidRPr="00954EDB" w:rsidRDefault="0047366E" w:rsidP="00B15EA5">
            <w:pPr>
              <w:rPr>
                <w:rStyle w:val="Emphasis"/>
                <w:i w:val="0"/>
                <w:iCs w:val="0"/>
              </w:rPr>
            </w:pPr>
            <w:r>
              <w:rPr>
                <w:rStyle w:val="Emphasis"/>
                <w:i w:val="0"/>
                <w:iCs w:val="0"/>
              </w:rPr>
              <w:t>3</w:t>
            </w:r>
            <w:r w:rsidR="002E1C49" w:rsidRPr="00954EDB">
              <w:rPr>
                <w:rStyle w:val="Emphasis"/>
                <w:i w:val="0"/>
                <w:iCs w:val="0"/>
              </w:rPr>
              <w:t>0</w:t>
            </w:r>
            <w:r w:rsidR="00CE316F" w:rsidRPr="00954EDB">
              <w:rPr>
                <w:rStyle w:val="Emphasis"/>
                <w:i w:val="0"/>
                <w:iCs w:val="0"/>
              </w:rPr>
              <w:t xml:space="preserve"> min</w:t>
            </w:r>
          </w:p>
        </w:tc>
      </w:tr>
      <w:tr w:rsidR="007C0D63" w:rsidRPr="00B11BDB" w14:paraId="46CABD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2373058" w14:textId="77777777" w:rsidR="00643226" w:rsidRPr="00B251FC" w:rsidRDefault="00643226" w:rsidP="00B15EA5">
            <w:pPr>
              <w:pStyle w:val="TableSmallBlueHeading"/>
            </w:pPr>
            <w:r w:rsidRPr="00B251FC">
              <w:rPr>
                <w:rFonts w:eastAsia="Helvetica Neue"/>
              </w:rPr>
              <w:lastRenderedPageBreak/>
              <w:t>P</w:t>
            </w:r>
            <w:r w:rsidRPr="00B251FC">
              <w:t>resenting the standards</w:t>
            </w:r>
          </w:p>
          <w:p w14:paraId="7C127AEC" w14:textId="3C63D408" w:rsidR="00405F52" w:rsidRPr="00B251FC" w:rsidRDefault="00405F52" w:rsidP="00B15EA5">
            <w:r w:rsidRPr="00B251FC">
              <w:t xml:space="preserve">Bring the group together and welcome everyone back. </w:t>
            </w:r>
          </w:p>
          <w:p w14:paraId="3FCDC8CB" w14:textId="1C4EAF53" w:rsidR="00405F52" w:rsidRPr="00B251FC" w:rsidRDefault="00405F52" w:rsidP="00B15EA5">
            <w:r w:rsidRPr="00B251FC">
              <w:t>Working</w:t>
            </w:r>
            <w:r>
              <w:t xml:space="preserve"> on</w:t>
            </w:r>
            <w:r w:rsidRPr="00B251FC">
              <w:t xml:space="preserve"> one standard at a time, invite each group to present their advert. If more than one group has worked on the same standard, have them present one after the other, then move to the plenary questions (do not do the discussion questions between two adverts on the same standard). </w:t>
            </w:r>
          </w:p>
          <w:p w14:paraId="549CF813" w14:textId="77777777" w:rsidR="00405F52" w:rsidRPr="00B251FC" w:rsidRDefault="00405F52" w:rsidP="00B15EA5">
            <w:r w:rsidRPr="00B251FC">
              <w:t>After each advert ask the rest of the plenary by showing slide 48:</w:t>
            </w:r>
          </w:p>
          <w:p w14:paraId="24E5D30F" w14:textId="77777777" w:rsidR="00405F52" w:rsidRPr="00405F52" w:rsidRDefault="00405F52" w:rsidP="00B15EA5">
            <w:pPr>
              <w:pStyle w:val="NormalTextBulletsLevel1"/>
            </w:pPr>
            <w:r w:rsidRPr="00405F52">
              <w:t>What is this standard about?</w:t>
            </w:r>
          </w:p>
          <w:p w14:paraId="1FDEBE58" w14:textId="77777777" w:rsidR="00405F52" w:rsidRPr="00405F52" w:rsidRDefault="00405F52" w:rsidP="00B15EA5">
            <w:pPr>
              <w:pStyle w:val="NormalTextBulletsLevel1"/>
            </w:pPr>
            <w:r w:rsidRPr="00405F52">
              <w:t>What is the relevance of information management / CP monitoring for a quality response?</w:t>
            </w:r>
          </w:p>
          <w:p w14:paraId="05BF67D2" w14:textId="5F62957F" w:rsidR="00405F52" w:rsidRPr="00405F52" w:rsidRDefault="00405F52" w:rsidP="00B15EA5">
            <w:pPr>
              <w:pStyle w:val="NormalTextBulletsLevel1"/>
            </w:pPr>
            <w:r w:rsidRPr="00405F52">
              <w:t>What tips did you hear?</w:t>
            </w:r>
          </w:p>
          <w:p w14:paraId="36773185" w14:textId="4D71F91A" w:rsidR="00405F52" w:rsidRPr="00B251FC" w:rsidRDefault="00405F52" w:rsidP="00B15EA5">
            <w:r w:rsidRPr="00B251FC">
              <w:t xml:space="preserve">After all the adverts for a standard have been performed, use the relevant key learning point to provide a summary of key messages. </w:t>
            </w:r>
          </w:p>
          <w:p w14:paraId="2EB5B143" w14:textId="15B385F3" w:rsidR="007C0D63" w:rsidRPr="000945C7" w:rsidRDefault="00405F52" w:rsidP="000945C7">
            <w:pPr>
              <w:rPr>
                <w:b/>
                <w:bCs/>
              </w:rPr>
            </w:pPr>
            <w:r w:rsidRPr="000945C7">
              <w:rPr>
                <w:b/>
                <w:bCs/>
              </w:rPr>
              <w:t>Repeat for each standard.</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CFD285E" w14:textId="77777777" w:rsidR="007C0D63" w:rsidRDefault="007C0D63" w:rsidP="00B15EA5">
            <w:pPr>
              <w:rPr>
                <w:rStyle w:val="Emphasis"/>
                <w:b/>
                <w:i w:val="0"/>
                <w:iCs w:val="0"/>
              </w:rPr>
            </w:pPr>
          </w:p>
          <w:p w14:paraId="0B5E348E" w14:textId="6702440F" w:rsidR="00DF3E30" w:rsidRDefault="00DF3E30" w:rsidP="00B15EA5">
            <w:pPr>
              <w:rPr>
                <w:rStyle w:val="Emphasis"/>
                <w:b/>
                <w:i w:val="0"/>
                <w:iCs w:val="0"/>
              </w:rPr>
            </w:pPr>
            <w:r w:rsidRPr="00DF3E30">
              <w:t>Invite the members of the presenting group to turn on their videos and if possible, spotlight these individuals</w:t>
            </w:r>
            <w:r w:rsidRPr="00B251FC">
              <w:rPr>
                <w:rFonts w:cs="Arial"/>
              </w:rPr>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547CB18" w14:textId="77777777" w:rsidR="00D179E0" w:rsidRDefault="00D179E0" w:rsidP="00B15EA5">
            <w:pPr>
              <w:rPr>
                <w:rStyle w:val="Emphasis"/>
                <w:i w:val="0"/>
                <w:iCs w:val="0"/>
              </w:rPr>
            </w:pPr>
          </w:p>
          <w:p w14:paraId="3812DD90" w14:textId="0603D142" w:rsidR="007C0D63" w:rsidRPr="00C3519B" w:rsidRDefault="00C3519B" w:rsidP="00B15EA5">
            <w:pPr>
              <w:rPr>
                <w:rStyle w:val="Emphasis"/>
                <w:i w:val="0"/>
                <w:iCs w:val="0"/>
              </w:rPr>
            </w:pPr>
            <w:r w:rsidRPr="00C3519B">
              <w:rPr>
                <w:rStyle w:val="Emphasis"/>
                <w:i w:val="0"/>
                <w:iCs w:val="0"/>
              </w:rPr>
              <w:t>20</w:t>
            </w:r>
            <w:r w:rsidR="00D179E0" w:rsidRPr="00C3519B">
              <w:rPr>
                <w:rStyle w:val="Emphasis"/>
                <w:i w:val="0"/>
                <w:iCs w:val="0"/>
              </w:rPr>
              <w:t xml:space="preserve"> min</w:t>
            </w:r>
          </w:p>
        </w:tc>
      </w:tr>
      <w:tr w:rsidR="00DF3E30" w:rsidRPr="00B11BDB" w14:paraId="3F800F83" w14:textId="77777777" w:rsidTr="00303A5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0FE14B5" w14:textId="77777777" w:rsidR="00417EE1" w:rsidRPr="00B251FC" w:rsidRDefault="00417EE1" w:rsidP="00B15EA5">
            <w:pPr>
              <w:pStyle w:val="TableSmallBlueHeading"/>
            </w:pPr>
            <w:r w:rsidRPr="00B251FC">
              <w:t>Ethical considerations for data collection in Humanitarian Settings</w:t>
            </w:r>
          </w:p>
          <w:p w14:paraId="436D8DEE" w14:textId="3B3ECF1C" w:rsidR="00F629A2" w:rsidRPr="00B251FC" w:rsidRDefault="00F629A2" w:rsidP="00B15EA5">
            <w:r w:rsidRPr="00F629A2">
              <w:rPr>
                <w:b/>
                <w:bCs/>
              </w:rPr>
              <w:t>Say:</w:t>
            </w:r>
            <w:r w:rsidRPr="00B251FC">
              <w:t xml:space="preserve"> Three basic principles of particular relevance to the ethics of data collection involving human participants are: respect, do no harm and non-discrimination. </w:t>
            </w:r>
          </w:p>
          <w:p w14:paraId="6D61DB2A" w14:textId="6219F58C" w:rsidR="00F629A2" w:rsidRPr="00B251FC" w:rsidRDefault="00F629A2" w:rsidP="00B15EA5">
            <w:r w:rsidRPr="00F629A2">
              <w:rPr>
                <w:b/>
                <w:bCs/>
              </w:rPr>
              <w:lastRenderedPageBreak/>
              <w:t>Instructions:</w:t>
            </w:r>
            <w:r>
              <w:t xml:space="preserve"> S</w:t>
            </w:r>
            <w:r w:rsidRPr="00B251FC">
              <w:t xml:space="preserve">how slide 49 to group participants, distribute cards </w:t>
            </w:r>
            <w:r>
              <w:br/>
            </w:r>
            <w:r w:rsidRPr="00B251FC">
              <w:t>with the 3 principles and their definitions and ask participants to match them up.</w:t>
            </w:r>
          </w:p>
          <w:p w14:paraId="514B6F45" w14:textId="2B8CB2E5" w:rsidR="00F629A2" w:rsidRPr="00F629A2" w:rsidRDefault="00F629A2" w:rsidP="00B15EA5">
            <w:r w:rsidRPr="00B251FC">
              <w:t xml:space="preserve">Each person </w:t>
            </w:r>
            <w:r>
              <w:t>is regarded as autonomous (i.e.</w:t>
            </w:r>
            <w:r w:rsidRPr="00B251FC">
              <w:t xml:space="preserve"> independent and free to make his or her own choices) and should be given the necessary information to decide whether or not to participate voluntarily in data collection. This also includes developing an understanding of the cultural norms of the participating group and treating people as equal participants in the data collection process rather than as victims (Respect).</w:t>
            </w:r>
          </w:p>
          <w:p w14:paraId="3A7046E0" w14:textId="47346928" w:rsidR="00F629A2" w:rsidRPr="00F629A2" w:rsidRDefault="00F629A2" w:rsidP="00B15EA5">
            <w:r w:rsidRPr="00B251FC">
              <w:t>It is your responsibility to protect participants as well as ensure that they experience the greatest possible benefits of involvement. While gathering information, the question asked must not only add value to the exercise but must also be greater than any harm that might be done. For example, in certain circumstances a que</w:t>
            </w:r>
            <w:r>
              <w:t>stion such as “A</w:t>
            </w:r>
            <w:r w:rsidRPr="00B251FC">
              <w:t>re you HIV positive?” might add informational value, but that value may be sufficiently outweighed by the negative consequences associated with others learning about his or her HIV status;  it may turn out that it is best not to ask the question. Another important example is the need to give adequate consideration and be sensitive to the consequences of forcing a participant to relive traumatic events during</w:t>
            </w:r>
            <w:r>
              <w:t xml:space="preserve"> data collection </w:t>
            </w:r>
            <w:r w:rsidRPr="00B251FC">
              <w:t>(Do No Harm)</w:t>
            </w:r>
            <w:r>
              <w:t>.</w:t>
            </w:r>
          </w:p>
          <w:p w14:paraId="5E4FC8A9" w14:textId="054AE556" w:rsidR="00F629A2" w:rsidRPr="00B251FC" w:rsidRDefault="00F629A2" w:rsidP="00B15EA5">
            <w:r w:rsidRPr="00B251FC">
              <w:lastRenderedPageBreak/>
              <w:t>Often there are criteria that justify differential treatment for certain purposes, such as selection according to age, gender or particular group. However, once the general selection parameters are determined, the selection thereafter must be equitable and fair. For example, are some groups or persons being selected simply because of their accessibility, their language ability, education level or their position in society, while others are not? (Non-Discrimination)</w:t>
            </w:r>
          </w:p>
          <w:p w14:paraId="73340CF1" w14:textId="3373B5C9" w:rsidR="00DF3E30" w:rsidRPr="00B251FC" w:rsidRDefault="00F629A2" w:rsidP="00B15EA5">
            <w:r w:rsidRPr="00B251FC">
              <w:t xml:space="preserve">Ask for any questions, then say that this is a very broad topic that would require a dedicated learning journey if the predominant part of your job profile requires technical knowledge in this domain.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7E54FB" w14:textId="186EC01A" w:rsidR="00A35E94" w:rsidRDefault="000945C7" w:rsidP="000945C7">
            <w:pPr>
              <w:pStyle w:val="TableSmallBlueHeading"/>
            </w:pPr>
            <w:r>
              <w:lastRenderedPageBreak/>
              <w:br/>
            </w:r>
          </w:p>
          <w:p w14:paraId="7C32E866" w14:textId="5F7CB025" w:rsidR="00A35E94" w:rsidRPr="00B251FC" w:rsidRDefault="00A35E94" w:rsidP="00B15EA5">
            <w:r w:rsidRPr="00B251FC">
              <w:t>Prepare whiteboards with the 3 terms and the definitions, each wri</w:t>
            </w:r>
            <w:r>
              <w:t xml:space="preserve">tten on a separate sticky note. </w:t>
            </w:r>
            <w:r w:rsidRPr="00B251FC">
              <w:t xml:space="preserve">Prepare breakout rooms of around 4 participants and share a link to the </w:t>
            </w:r>
            <w:r w:rsidRPr="00B251FC">
              <w:lastRenderedPageBreak/>
              <w:t xml:space="preserve">whiteboard where they can match the terms and definitions. </w:t>
            </w:r>
          </w:p>
          <w:p w14:paraId="480A89D7" w14:textId="77777777" w:rsidR="00A35E94" w:rsidRPr="00B251FC" w:rsidRDefault="00A35E94" w:rsidP="00B15EA5"/>
          <w:p w14:paraId="2EE17FAC" w14:textId="5756CF73" w:rsidR="00A35E94" w:rsidRDefault="00A35E94" w:rsidP="00B15EA5">
            <w:pPr>
              <w:rPr>
                <w:rStyle w:val="Emphasis"/>
                <w:b/>
                <w:i w:val="0"/>
                <w:iCs w:val="0"/>
              </w:rPr>
            </w:pPr>
            <w:r w:rsidRPr="00B251FC">
              <w:t>Review answers in plenary.</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2E9376" w14:textId="329A1BED" w:rsidR="00DF3E30" w:rsidRPr="00922033" w:rsidRDefault="00DF3E30" w:rsidP="00B15EA5">
            <w:pPr>
              <w:rPr>
                <w:lang w:val="en-GB" w:eastAsia="en-ZA"/>
              </w:rPr>
            </w:pPr>
          </w:p>
          <w:p w14:paraId="1BEBC8B9" w14:textId="0DCB07A9" w:rsidR="00922033" w:rsidRDefault="000945C7" w:rsidP="00B15EA5">
            <w:pPr>
              <w:rPr>
                <w:rStyle w:val="Emphasis"/>
                <w:i w:val="0"/>
                <w:iCs w:val="0"/>
              </w:rPr>
            </w:pPr>
            <w:r>
              <w:rPr>
                <w:rStyle w:val="Emphasis"/>
                <w:i w:val="0"/>
                <w:iCs w:val="0"/>
              </w:rPr>
              <w:t>15</w:t>
            </w:r>
            <w:r w:rsidR="00922033" w:rsidRPr="00C3519B">
              <w:rPr>
                <w:rStyle w:val="Emphasis"/>
                <w:i w:val="0"/>
                <w:iCs w:val="0"/>
              </w:rPr>
              <w:t xml:space="preserve"> min</w:t>
            </w:r>
          </w:p>
        </w:tc>
      </w:tr>
      <w:tr w:rsidR="00CF0D22" w:rsidRPr="00B11BDB" w14:paraId="73AE41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52F9B44" w14:textId="77777777" w:rsidR="00303A56" w:rsidRDefault="00303A56" w:rsidP="00B15EA5">
            <w:pPr>
              <w:pStyle w:val="TableSmallBlueHeading"/>
            </w:pPr>
            <w:r w:rsidRPr="00303A56">
              <w:lastRenderedPageBreak/>
              <w:t>Session wrap-up</w:t>
            </w:r>
          </w:p>
          <w:p w14:paraId="1CBBDFAB" w14:textId="3E970195" w:rsidR="005F77B2" w:rsidRPr="005F77B2" w:rsidRDefault="005F77B2" w:rsidP="00B15EA5">
            <w:r w:rsidRPr="005F77B2">
              <w:t xml:space="preserve">Check for questions. Remind participants that they can use their learning log at any time to make a note of key learnings and wrap up the session by showing slide 50. </w:t>
            </w:r>
          </w:p>
          <w:p w14:paraId="6E8064D5" w14:textId="77777777" w:rsidR="005F77B2" w:rsidRPr="005F77B2" w:rsidRDefault="005F77B2" w:rsidP="00B15EA5">
            <w:r w:rsidRPr="005F77B2">
              <w:t xml:space="preserve">Reflective practice - suggested questions: </w:t>
            </w:r>
          </w:p>
          <w:p w14:paraId="4EA924AE" w14:textId="77777777" w:rsidR="005F77B2" w:rsidRPr="005F77B2" w:rsidRDefault="005F77B2" w:rsidP="00B15EA5">
            <w:pPr>
              <w:pStyle w:val="NormalTextBulletsLevel1"/>
            </w:pPr>
            <w:r w:rsidRPr="005F77B2">
              <w:t>What have you learnt in this session?</w:t>
            </w:r>
          </w:p>
          <w:p w14:paraId="4E1C9A12" w14:textId="55C4241C" w:rsidR="00CF0D22" w:rsidRPr="00EA3AA0" w:rsidRDefault="005F77B2" w:rsidP="00B15EA5">
            <w:pPr>
              <w:pStyle w:val="NormalTextBulletsLevel1"/>
            </w:pPr>
            <w:r w:rsidRPr="005F77B2">
              <w:t>What surprised you?</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A4F8E1D" w14:textId="77777777" w:rsidR="00CF0D22" w:rsidRDefault="00CF0D22" w:rsidP="00B15EA5">
            <w:pPr>
              <w:rPr>
                <w:rStyle w:val="Emphasis"/>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FFDE7E2" w14:textId="2235F0B5" w:rsidR="00922033" w:rsidRPr="00922033" w:rsidRDefault="00922033" w:rsidP="00B15EA5">
            <w:pPr>
              <w:rPr>
                <w:lang w:val="en-GB" w:eastAsia="en-ZA"/>
              </w:rPr>
            </w:pPr>
          </w:p>
          <w:p w14:paraId="190BC5C1" w14:textId="26D2BF76" w:rsidR="00CF0D22" w:rsidRPr="00922033" w:rsidRDefault="000945C7" w:rsidP="00B15EA5">
            <w:pPr>
              <w:rPr>
                <w:rStyle w:val="Emphasis"/>
                <w:i w:val="0"/>
                <w:iCs w:val="0"/>
              </w:rPr>
            </w:pPr>
            <w:r>
              <w:rPr>
                <w:rStyle w:val="Emphasis"/>
                <w:i w:val="0"/>
                <w:iCs w:val="0"/>
              </w:rPr>
              <w:t>8</w:t>
            </w:r>
            <w:r w:rsidR="00922033" w:rsidRPr="00922033">
              <w:rPr>
                <w:rStyle w:val="Emphasis"/>
                <w:i w:val="0"/>
                <w:iCs w:val="0"/>
              </w:rPr>
              <w:t xml:space="preserve"> min</w:t>
            </w:r>
          </w:p>
        </w:tc>
      </w:tr>
    </w:tbl>
    <w:p w14:paraId="571E01A3" w14:textId="77777777" w:rsidR="00B11BDB" w:rsidRPr="008C2B38" w:rsidRDefault="00B11BDB" w:rsidP="00B15EA5"/>
    <w:p w14:paraId="1823FB13" w14:textId="77777777" w:rsidR="00C92BE5" w:rsidRDefault="00C92BE5" w:rsidP="00B15EA5"/>
    <w:p w14:paraId="06F5F6FA" w14:textId="77777777" w:rsidR="00C92BE5" w:rsidRDefault="00C92BE5" w:rsidP="00B15EA5"/>
    <w:p w14:paraId="425D6988" w14:textId="3CBE1E46" w:rsidR="00C53D96" w:rsidRPr="00F96683" w:rsidRDefault="00F11B8A" w:rsidP="00B15EA5">
      <w:pPr>
        <w:pStyle w:val="1Heading1"/>
      </w:pPr>
      <w:r w:rsidRPr="00857BA0">
        <w:lastRenderedPageBreak/>
        <w:t>Supporting Information</w:t>
      </w:r>
    </w:p>
    <w:p w14:paraId="62792946" w14:textId="77777777" w:rsidR="006C25F4" w:rsidRDefault="006C25F4" w:rsidP="00B15EA5"/>
    <w:p w14:paraId="67AE7EAD" w14:textId="65370CF2" w:rsidR="00F11B8A" w:rsidRPr="00F11B8A" w:rsidRDefault="00F11B8A" w:rsidP="00B15EA5">
      <w:pPr>
        <w:pStyle w:val="1Heading1"/>
      </w:pPr>
      <w:r w:rsidRPr="00F11B8A">
        <w:t>Additional Resources</w:t>
      </w:r>
    </w:p>
    <w:p w14:paraId="4B1BD33D" w14:textId="6C1214E4" w:rsidR="00D556FE" w:rsidRPr="00272DB4" w:rsidRDefault="00D556FE" w:rsidP="00B15EA5"/>
    <w:sectPr w:rsidR="00D556FE" w:rsidRPr="00272DB4"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79A5B" w14:textId="77777777" w:rsidR="007305D4" w:rsidRDefault="007305D4" w:rsidP="00B15EA5">
      <w:r>
        <w:separator/>
      </w:r>
    </w:p>
  </w:endnote>
  <w:endnote w:type="continuationSeparator" w:id="0">
    <w:p w14:paraId="516FF29C" w14:textId="77777777" w:rsidR="007305D4" w:rsidRDefault="007305D4" w:rsidP="00B1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B15EA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B15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B15EA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61233" w14:textId="77777777" w:rsidR="007305D4" w:rsidRDefault="007305D4" w:rsidP="00B15EA5">
      <w:r>
        <w:separator/>
      </w:r>
    </w:p>
  </w:footnote>
  <w:footnote w:type="continuationSeparator" w:id="0">
    <w:p w14:paraId="342D0E11" w14:textId="77777777" w:rsidR="007305D4" w:rsidRDefault="007305D4" w:rsidP="00B1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B15EA5">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8"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3"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5"/>
  </w:num>
  <w:num w:numId="8" w16cid:durableId="209920770">
    <w:abstractNumId w:val="7"/>
  </w:num>
  <w:num w:numId="9" w16cid:durableId="1488205232">
    <w:abstractNumId w:val="13"/>
  </w:num>
  <w:num w:numId="10" w16cid:durableId="1967618515">
    <w:abstractNumId w:val="27"/>
  </w:num>
  <w:num w:numId="11" w16cid:durableId="1737974695">
    <w:abstractNumId w:val="14"/>
  </w:num>
  <w:num w:numId="12" w16cid:durableId="778765163">
    <w:abstractNumId w:val="24"/>
  </w:num>
  <w:num w:numId="13" w16cid:durableId="1449592286">
    <w:abstractNumId w:val="6"/>
  </w:num>
  <w:num w:numId="14" w16cid:durableId="603268405">
    <w:abstractNumId w:val="15"/>
  </w:num>
  <w:num w:numId="15" w16cid:durableId="2137290702">
    <w:abstractNumId w:val="26"/>
  </w:num>
  <w:num w:numId="16" w16cid:durableId="265190426">
    <w:abstractNumId w:val="22"/>
  </w:num>
  <w:num w:numId="17" w16cid:durableId="1801337311">
    <w:abstractNumId w:val="8"/>
  </w:num>
  <w:num w:numId="18" w16cid:durableId="1542093204">
    <w:abstractNumId w:val="18"/>
  </w:num>
  <w:num w:numId="19" w16cid:durableId="869688884">
    <w:abstractNumId w:val="12"/>
  </w:num>
  <w:num w:numId="20" w16cid:durableId="1306278755">
    <w:abstractNumId w:val="23"/>
  </w:num>
  <w:num w:numId="21" w16cid:durableId="2021734704">
    <w:abstractNumId w:val="11"/>
  </w:num>
  <w:num w:numId="22" w16cid:durableId="1223516852">
    <w:abstractNumId w:val="19"/>
  </w:num>
  <w:num w:numId="23" w16cid:durableId="888153701">
    <w:abstractNumId w:val="28"/>
  </w:num>
  <w:num w:numId="24" w16cid:durableId="1508013002">
    <w:abstractNumId w:val="21"/>
  </w:num>
  <w:num w:numId="25" w16cid:durableId="850992696">
    <w:abstractNumId w:val="17"/>
  </w:num>
  <w:num w:numId="26" w16cid:durableId="1212577455">
    <w:abstractNumId w:val="20"/>
  </w:num>
  <w:num w:numId="27" w16cid:durableId="1924871539">
    <w:abstractNumId w:val="16"/>
  </w:num>
  <w:num w:numId="28" w16cid:durableId="1665359137">
    <w:abstractNumId w:val="9"/>
  </w:num>
  <w:num w:numId="29" w16cid:durableId="84929221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6E4E"/>
    <w:rsid w:val="00070047"/>
    <w:rsid w:val="00071860"/>
    <w:rsid w:val="000815D8"/>
    <w:rsid w:val="00082945"/>
    <w:rsid w:val="000856F0"/>
    <w:rsid w:val="000945C7"/>
    <w:rsid w:val="00096A42"/>
    <w:rsid w:val="000A1F74"/>
    <w:rsid w:val="000A6D48"/>
    <w:rsid w:val="000B3112"/>
    <w:rsid w:val="000C03A8"/>
    <w:rsid w:val="000C40FD"/>
    <w:rsid w:val="000C544D"/>
    <w:rsid w:val="000D2C9A"/>
    <w:rsid w:val="000E2D08"/>
    <w:rsid w:val="000E567A"/>
    <w:rsid w:val="000E5BBA"/>
    <w:rsid w:val="000F7D38"/>
    <w:rsid w:val="00100884"/>
    <w:rsid w:val="001011B5"/>
    <w:rsid w:val="001020F3"/>
    <w:rsid w:val="00102C0A"/>
    <w:rsid w:val="00105F6F"/>
    <w:rsid w:val="00111353"/>
    <w:rsid w:val="00114F49"/>
    <w:rsid w:val="001162ED"/>
    <w:rsid w:val="0011712B"/>
    <w:rsid w:val="0011763C"/>
    <w:rsid w:val="00120045"/>
    <w:rsid w:val="00121CD4"/>
    <w:rsid w:val="00122885"/>
    <w:rsid w:val="00123469"/>
    <w:rsid w:val="0012570E"/>
    <w:rsid w:val="00126022"/>
    <w:rsid w:val="001262E9"/>
    <w:rsid w:val="00127D71"/>
    <w:rsid w:val="001372C6"/>
    <w:rsid w:val="00151C57"/>
    <w:rsid w:val="00165BDB"/>
    <w:rsid w:val="001665BA"/>
    <w:rsid w:val="00167184"/>
    <w:rsid w:val="00167E70"/>
    <w:rsid w:val="00171CFC"/>
    <w:rsid w:val="0017581E"/>
    <w:rsid w:val="0018100B"/>
    <w:rsid w:val="001822CD"/>
    <w:rsid w:val="00182998"/>
    <w:rsid w:val="001949B4"/>
    <w:rsid w:val="00195A6F"/>
    <w:rsid w:val="001A4E51"/>
    <w:rsid w:val="001A5B2E"/>
    <w:rsid w:val="001B459E"/>
    <w:rsid w:val="001C787A"/>
    <w:rsid w:val="001D2890"/>
    <w:rsid w:val="001D3BF0"/>
    <w:rsid w:val="001E0E49"/>
    <w:rsid w:val="001E1507"/>
    <w:rsid w:val="001E4F9D"/>
    <w:rsid w:val="001E7894"/>
    <w:rsid w:val="001F12EA"/>
    <w:rsid w:val="001F3115"/>
    <w:rsid w:val="00200147"/>
    <w:rsid w:val="00200E93"/>
    <w:rsid w:val="00221051"/>
    <w:rsid w:val="00222921"/>
    <w:rsid w:val="0022703F"/>
    <w:rsid w:val="00227177"/>
    <w:rsid w:val="00232D1A"/>
    <w:rsid w:val="00237C12"/>
    <w:rsid w:val="0024593E"/>
    <w:rsid w:val="002615E9"/>
    <w:rsid w:val="00261C71"/>
    <w:rsid w:val="002649C8"/>
    <w:rsid w:val="00264B8C"/>
    <w:rsid w:val="00270A09"/>
    <w:rsid w:val="00272DB4"/>
    <w:rsid w:val="002732F5"/>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3A56"/>
    <w:rsid w:val="00306D58"/>
    <w:rsid w:val="0031183C"/>
    <w:rsid w:val="003148E3"/>
    <w:rsid w:val="0031555B"/>
    <w:rsid w:val="00315FD3"/>
    <w:rsid w:val="00322BDC"/>
    <w:rsid w:val="00332C25"/>
    <w:rsid w:val="0033320B"/>
    <w:rsid w:val="00335E68"/>
    <w:rsid w:val="0033683E"/>
    <w:rsid w:val="00336EDF"/>
    <w:rsid w:val="00337DD9"/>
    <w:rsid w:val="003452B8"/>
    <w:rsid w:val="00351A6B"/>
    <w:rsid w:val="0035251E"/>
    <w:rsid w:val="0035522E"/>
    <w:rsid w:val="00361A4C"/>
    <w:rsid w:val="00362AFF"/>
    <w:rsid w:val="00365D7C"/>
    <w:rsid w:val="003742FA"/>
    <w:rsid w:val="00375BF5"/>
    <w:rsid w:val="0038071B"/>
    <w:rsid w:val="00380AD6"/>
    <w:rsid w:val="003812E5"/>
    <w:rsid w:val="00383E42"/>
    <w:rsid w:val="0038590D"/>
    <w:rsid w:val="00390ECC"/>
    <w:rsid w:val="003954E3"/>
    <w:rsid w:val="00395B8B"/>
    <w:rsid w:val="00397DD3"/>
    <w:rsid w:val="003A729C"/>
    <w:rsid w:val="003B184F"/>
    <w:rsid w:val="003B209D"/>
    <w:rsid w:val="003B2E76"/>
    <w:rsid w:val="003C57B2"/>
    <w:rsid w:val="003C637E"/>
    <w:rsid w:val="003C7AFF"/>
    <w:rsid w:val="003D0BF0"/>
    <w:rsid w:val="003D1A61"/>
    <w:rsid w:val="003D684C"/>
    <w:rsid w:val="003E0223"/>
    <w:rsid w:val="003E3C90"/>
    <w:rsid w:val="003F18FE"/>
    <w:rsid w:val="003F5443"/>
    <w:rsid w:val="003F7E98"/>
    <w:rsid w:val="00400517"/>
    <w:rsid w:val="00404A60"/>
    <w:rsid w:val="00405880"/>
    <w:rsid w:val="00405F52"/>
    <w:rsid w:val="0041017E"/>
    <w:rsid w:val="00411AF2"/>
    <w:rsid w:val="00417EE1"/>
    <w:rsid w:val="00431CCD"/>
    <w:rsid w:val="004339B1"/>
    <w:rsid w:val="004361C5"/>
    <w:rsid w:val="0044124C"/>
    <w:rsid w:val="00442077"/>
    <w:rsid w:val="00442CC5"/>
    <w:rsid w:val="00443D9A"/>
    <w:rsid w:val="00461C65"/>
    <w:rsid w:val="0046463A"/>
    <w:rsid w:val="00464ABA"/>
    <w:rsid w:val="0046604C"/>
    <w:rsid w:val="00472B81"/>
    <w:rsid w:val="0047366E"/>
    <w:rsid w:val="00481F23"/>
    <w:rsid w:val="004825A4"/>
    <w:rsid w:val="0048645E"/>
    <w:rsid w:val="00493694"/>
    <w:rsid w:val="00496859"/>
    <w:rsid w:val="004A69D8"/>
    <w:rsid w:val="004B2FBC"/>
    <w:rsid w:val="004B3392"/>
    <w:rsid w:val="004C6180"/>
    <w:rsid w:val="004C7B82"/>
    <w:rsid w:val="004D0009"/>
    <w:rsid w:val="004D125A"/>
    <w:rsid w:val="004D2441"/>
    <w:rsid w:val="004D2A08"/>
    <w:rsid w:val="004D407C"/>
    <w:rsid w:val="004D42B9"/>
    <w:rsid w:val="004D463D"/>
    <w:rsid w:val="004D5499"/>
    <w:rsid w:val="004E4D53"/>
    <w:rsid w:val="004E50CD"/>
    <w:rsid w:val="004E5908"/>
    <w:rsid w:val="004F0AF1"/>
    <w:rsid w:val="004F7CEE"/>
    <w:rsid w:val="00500D53"/>
    <w:rsid w:val="005072D6"/>
    <w:rsid w:val="005136AB"/>
    <w:rsid w:val="0051459F"/>
    <w:rsid w:val="00514C65"/>
    <w:rsid w:val="00520DE6"/>
    <w:rsid w:val="00520FF2"/>
    <w:rsid w:val="00522C3E"/>
    <w:rsid w:val="005265F0"/>
    <w:rsid w:val="005360E1"/>
    <w:rsid w:val="0055332C"/>
    <w:rsid w:val="0055659B"/>
    <w:rsid w:val="00565C03"/>
    <w:rsid w:val="00566755"/>
    <w:rsid w:val="0057162C"/>
    <w:rsid w:val="00577067"/>
    <w:rsid w:val="00582B20"/>
    <w:rsid w:val="00583EBE"/>
    <w:rsid w:val="00586250"/>
    <w:rsid w:val="00591CD5"/>
    <w:rsid w:val="0059398D"/>
    <w:rsid w:val="005A07DB"/>
    <w:rsid w:val="005A41ED"/>
    <w:rsid w:val="005A73AB"/>
    <w:rsid w:val="005B313E"/>
    <w:rsid w:val="005B51B4"/>
    <w:rsid w:val="005B638D"/>
    <w:rsid w:val="005C243B"/>
    <w:rsid w:val="005D2465"/>
    <w:rsid w:val="005E160D"/>
    <w:rsid w:val="005E16E1"/>
    <w:rsid w:val="005E2B0B"/>
    <w:rsid w:val="005E3A50"/>
    <w:rsid w:val="005E44A4"/>
    <w:rsid w:val="005E6D26"/>
    <w:rsid w:val="005F203E"/>
    <w:rsid w:val="005F2378"/>
    <w:rsid w:val="005F39C1"/>
    <w:rsid w:val="005F4E15"/>
    <w:rsid w:val="005F77B2"/>
    <w:rsid w:val="005F78C7"/>
    <w:rsid w:val="006012A5"/>
    <w:rsid w:val="0060204C"/>
    <w:rsid w:val="006057FC"/>
    <w:rsid w:val="0060646B"/>
    <w:rsid w:val="00612D9A"/>
    <w:rsid w:val="006138A5"/>
    <w:rsid w:val="006154AB"/>
    <w:rsid w:val="00622517"/>
    <w:rsid w:val="0062330A"/>
    <w:rsid w:val="00625385"/>
    <w:rsid w:val="006269A6"/>
    <w:rsid w:val="0062766C"/>
    <w:rsid w:val="00631B59"/>
    <w:rsid w:val="00636859"/>
    <w:rsid w:val="00641BC1"/>
    <w:rsid w:val="00642DCD"/>
    <w:rsid w:val="00643226"/>
    <w:rsid w:val="00644903"/>
    <w:rsid w:val="00653019"/>
    <w:rsid w:val="00657E43"/>
    <w:rsid w:val="006606A3"/>
    <w:rsid w:val="0067105C"/>
    <w:rsid w:val="006815DF"/>
    <w:rsid w:val="00681E1E"/>
    <w:rsid w:val="00683E91"/>
    <w:rsid w:val="0068737E"/>
    <w:rsid w:val="006901CE"/>
    <w:rsid w:val="00693399"/>
    <w:rsid w:val="006A0D14"/>
    <w:rsid w:val="006A568E"/>
    <w:rsid w:val="006A6E15"/>
    <w:rsid w:val="006A77BF"/>
    <w:rsid w:val="006B20CF"/>
    <w:rsid w:val="006B357B"/>
    <w:rsid w:val="006B787E"/>
    <w:rsid w:val="006C25F4"/>
    <w:rsid w:val="006C6094"/>
    <w:rsid w:val="006D4315"/>
    <w:rsid w:val="006D7B92"/>
    <w:rsid w:val="006E1365"/>
    <w:rsid w:val="006F3201"/>
    <w:rsid w:val="006F5E08"/>
    <w:rsid w:val="007011B6"/>
    <w:rsid w:val="00702F6B"/>
    <w:rsid w:val="007048D2"/>
    <w:rsid w:val="007056C9"/>
    <w:rsid w:val="00710FF4"/>
    <w:rsid w:val="007139CF"/>
    <w:rsid w:val="00716D84"/>
    <w:rsid w:val="00716F73"/>
    <w:rsid w:val="007225B3"/>
    <w:rsid w:val="00724079"/>
    <w:rsid w:val="007305D4"/>
    <w:rsid w:val="00730614"/>
    <w:rsid w:val="00730F05"/>
    <w:rsid w:val="007314B0"/>
    <w:rsid w:val="007355DD"/>
    <w:rsid w:val="00744B65"/>
    <w:rsid w:val="0074643B"/>
    <w:rsid w:val="00753919"/>
    <w:rsid w:val="00763989"/>
    <w:rsid w:val="0076516F"/>
    <w:rsid w:val="00772A49"/>
    <w:rsid w:val="007744AD"/>
    <w:rsid w:val="00781414"/>
    <w:rsid w:val="00795AC5"/>
    <w:rsid w:val="00796E2C"/>
    <w:rsid w:val="007A1A42"/>
    <w:rsid w:val="007A2A5B"/>
    <w:rsid w:val="007A52A6"/>
    <w:rsid w:val="007B355F"/>
    <w:rsid w:val="007B51F8"/>
    <w:rsid w:val="007C0D63"/>
    <w:rsid w:val="007C60E5"/>
    <w:rsid w:val="007C6D87"/>
    <w:rsid w:val="007D4390"/>
    <w:rsid w:val="007D5D53"/>
    <w:rsid w:val="007D6403"/>
    <w:rsid w:val="007E0B29"/>
    <w:rsid w:val="007E0DCC"/>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358"/>
    <w:rsid w:val="00890858"/>
    <w:rsid w:val="00892759"/>
    <w:rsid w:val="00893E48"/>
    <w:rsid w:val="008A1ECF"/>
    <w:rsid w:val="008B039D"/>
    <w:rsid w:val="008B051C"/>
    <w:rsid w:val="008B1735"/>
    <w:rsid w:val="008B3B6A"/>
    <w:rsid w:val="008B462C"/>
    <w:rsid w:val="008B4B3D"/>
    <w:rsid w:val="008C2B38"/>
    <w:rsid w:val="008D06BF"/>
    <w:rsid w:val="008D073D"/>
    <w:rsid w:val="008D2CF6"/>
    <w:rsid w:val="008D3663"/>
    <w:rsid w:val="008D59B8"/>
    <w:rsid w:val="008F1B5D"/>
    <w:rsid w:val="008F2FAD"/>
    <w:rsid w:val="00901D03"/>
    <w:rsid w:val="00902254"/>
    <w:rsid w:val="00903A62"/>
    <w:rsid w:val="00904182"/>
    <w:rsid w:val="009136B5"/>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63219"/>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020F"/>
    <w:rsid w:val="00AC392E"/>
    <w:rsid w:val="00AC4257"/>
    <w:rsid w:val="00AC4DA9"/>
    <w:rsid w:val="00AD45CF"/>
    <w:rsid w:val="00AD4B0A"/>
    <w:rsid w:val="00AD6C6D"/>
    <w:rsid w:val="00AE2006"/>
    <w:rsid w:val="00AE3120"/>
    <w:rsid w:val="00AF1F68"/>
    <w:rsid w:val="00B01D4F"/>
    <w:rsid w:val="00B03446"/>
    <w:rsid w:val="00B07F17"/>
    <w:rsid w:val="00B10652"/>
    <w:rsid w:val="00B11BDB"/>
    <w:rsid w:val="00B15EA5"/>
    <w:rsid w:val="00B16526"/>
    <w:rsid w:val="00B16FFF"/>
    <w:rsid w:val="00B1716F"/>
    <w:rsid w:val="00B1753A"/>
    <w:rsid w:val="00B2036D"/>
    <w:rsid w:val="00B2335A"/>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519B"/>
    <w:rsid w:val="00C36BCB"/>
    <w:rsid w:val="00C4247E"/>
    <w:rsid w:val="00C44085"/>
    <w:rsid w:val="00C455B1"/>
    <w:rsid w:val="00C51A81"/>
    <w:rsid w:val="00C53D96"/>
    <w:rsid w:val="00C6026E"/>
    <w:rsid w:val="00C61869"/>
    <w:rsid w:val="00C705B7"/>
    <w:rsid w:val="00C70E50"/>
    <w:rsid w:val="00C719CF"/>
    <w:rsid w:val="00C722A7"/>
    <w:rsid w:val="00C7494A"/>
    <w:rsid w:val="00C810E0"/>
    <w:rsid w:val="00C8203B"/>
    <w:rsid w:val="00C87A43"/>
    <w:rsid w:val="00C908A7"/>
    <w:rsid w:val="00C9183D"/>
    <w:rsid w:val="00C922A4"/>
    <w:rsid w:val="00C92BE5"/>
    <w:rsid w:val="00C96D28"/>
    <w:rsid w:val="00C96D9F"/>
    <w:rsid w:val="00CA47E8"/>
    <w:rsid w:val="00CA5852"/>
    <w:rsid w:val="00CB4F5C"/>
    <w:rsid w:val="00CC21C2"/>
    <w:rsid w:val="00CC5192"/>
    <w:rsid w:val="00CD026E"/>
    <w:rsid w:val="00CD4FAA"/>
    <w:rsid w:val="00CD51C0"/>
    <w:rsid w:val="00CE1C4E"/>
    <w:rsid w:val="00CE316F"/>
    <w:rsid w:val="00CE68EA"/>
    <w:rsid w:val="00CE72ED"/>
    <w:rsid w:val="00CF0D22"/>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7BA6"/>
    <w:rsid w:val="00DF3E30"/>
    <w:rsid w:val="00DF51B8"/>
    <w:rsid w:val="00DF5CB2"/>
    <w:rsid w:val="00E0506C"/>
    <w:rsid w:val="00E11AE8"/>
    <w:rsid w:val="00E14236"/>
    <w:rsid w:val="00E15B59"/>
    <w:rsid w:val="00E1691E"/>
    <w:rsid w:val="00E234E3"/>
    <w:rsid w:val="00E2352A"/>
    <w:rsid w:val="00E41763"/>
    <w:rsid w:val="00E462FB"/>
    <w:rsid w:val="00E4643A"/>
    <w:rsid w:val="00E47570"/>
    <w:rsid w:val="00E54B53"/>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546B"/>
    <w:rsid w:val="00EB1CBF"/>
    <w:rsid w:val="00EC0390"/>
    <w:rsid w:val="00EC0862"/>
    <w:rsid w:val="00EC768B"/>
    <w:rsid w:val="00ED1EA3"/>
    <w:rsid w:val="00ED33C7"/>
    <w:rsid w:val="00ED7227"/>
    <w:rsid w:val="00EF06A8"/>
    <w:rsid w:val="00EF48B2"/>
    <w:rsid w:val="00F11AEB"/>
    <w:rsid w:val="00F11B8A"/>
    <w:rsid w:val="00F172E9"/>
    <w:rsid w:val="00F174DA"/>
    <w:rsid w:val="00F22D66"/>
    <w:rsid w:val="00F24611"/>
    <w:rsid w:val="00F31A8A"/>
    <w:rsid w:val="00F32A42"/>
    <w:rsid w:val="00F35795"/>
    <w:rsid w:val="00F441F4"/>
    <w:rsid w:val="00F60686"/>
    <w:rsid w:val="00F60FCC"/>
    <w:rsid w:val="00F629A2"/>
    <w:rsid w:val="00F71D9E"/>
    <w:rsid w:val="00F7245B"/>
    <w:rsid w:val="00F72BAC"/>
    <w:rsid w:val="00F812CC"/>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15EA5"/>
    <w:pPr>
      <w:pBdr>
        <w:top w:val="nil"/>
        <w:left w:val="nil"/>
        <w:bottom w:val="nil"/>
        <w:right w:val="nil"/>
        <w:between w:val="nil"/>
      </w:pBdr>
      <w:spacing w:after="120" w:line="300" w:lineRule="auto"/>
      <w:jc w:val="both"/>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65</cp:revision>
  <dcterms:created xsi:type="dcterms:W3CDTF">2024-05-10T15:20:00Z</dcterms:created>
  <dcterms:modified xsi:type="dcterms:W3CDTF">2024-05-15T12:30:00Z</dcterms:modified>
</cp:coreProperties>
</file>