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D0" w:rsidRDefault="00AF76D0" w:rsidP="00AF76D0">
      <w:pPr>
        <w:pStyle w:val="Heading1"/>
        <w:numPr>
          <w:ilvl w:val="0"/>
          <w:numId w:val="0"/>
        </w:numPr>
      </w:pPr>
      <w:bookmarkStart w:id="0" w:name="_Toc286049218"/>
      <w:r>
        <w:t>Determining the reliability and credibility of data</w:t>
      </w:r>
      <w:bookmarkEnd w:id="0"/>
    </w:p>
    <w:p w:rsidR="00F17004" w:rsidRPr="00F17004" w:rsidRDefault="00F17004" w:rsidP="00F17004"/>
    <w:tbl>
      <w:tblPr>
        <w:tblStyle w:val="TableGrid"/>
        <w:tblW w:w="0" w:type="auto"/>
        <w:tblLook w:val="04A0" w:firstRow="1" w:lastRow="0" w:firstColumn="1" w:lastColumn="0" w:noHBand="0" w:noVBand="1"/>
      </w:tblPr>
      <w:tblGrid>
        <w:gridCol w:w="4621"/>
        <w:gridCol w:w="4621"/>
      </w:tblGrid>
      <w:tr w:rsidR="00AF76D0" w:rsidTr="00AF76D0">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b/>
                <w:bCs/>
                <w:sz w:val="23"/>
                <w:szCs w:val="23"/>
              </w:rPr>
              <w:t>Reliability of source</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b/>
                <w:bCs/>
                <w:sz w:val="23"/>
                <w:szCs w:val="23"/>
              </w:rPr>
            </w:pPr>
            <w:r>
              <w:rPr>
                <w:rFonts w:cs="Arial"/>
                <w:b/>
                <w:bCs/>
                <w:sz w:val="23"/>
                <w:szCs w:val="23"/>
              </w:rPr>
              <w:t>Credibility of data</w:t>
            </w:r>
          </w:p>
        </w:tc>
      </w:tr>
      <w:tr w:rsidR="00AF76D0" w:rsidTr="00AF76D0">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sz w:val="23"/>
                <w:szCs w:val="23"/>
              </w:rPr>
              <w:t>A. Completely reliable</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sz w:val="23"/>
                <w:szCs w:val="23"/>
              </w:rPr>
            </w:pPr>
            <w:r>
              <w:rPr>
                <w:rFonts w:cs="Arial"/>
                <w:sz w:val="23"/>
                <w:szCs w:val="23"/>
              </w:rPr>
              <w:t>1. Confirmed by other sources</w:t>
            </w:r>
          </w:p>
        </w:tc>
      </w:tr>
      <w:tr w:rsidR="00AF76D0" w:rsidTr="00AF76D0">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sz w:val="23"/>
                <w:szCs w:val="23"/>
              </w:rPr>
              <w:t>B. Usually reliable</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sz w:val="23"/>
                <w:szCs w:val="23"/>
              </w:rPr>
            </w:pPr>
            <w:r>
              <w:rPr>
                <w:rFonts w:cs="Arial"/>
                <w:sz w:val="23"/>
                <w:szCs w:val="23"/>
              </w:rPr>
              <w:t>2. Probably true</w:t>
            </w:r>
          </w:p>
        </w:tc>
      </w:tr>
      <w:tr w:rsidR="00AF76D0" w:rsidTr="00AF76D0">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sz w:val="23"/>
                <w:szCs w:val="23"/>
              </w:rPr>
              <w:t>C. Fairly reliable</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sz w:val="23"/>
                <w:szCs w:val="23"/>
              </w:rPr>
            </w:pPr>
            <w:r>
              <w:rPr>
                <w:rFonts w:cs="Arial"/>
                <w:sz w:val="23"/>
                <w:szCs w:val="23"/>
              </w:rPr>
              <w:t>3. Possibly true</w:t>
            </w:r>
          </w:p>
        </w:tc>
      </w:tr>
      <w:tr w:rsidR="00AF76D0" w:rsidTr="00AF76D0">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sz w:val="23"/>
                <w:szCs w:val="23"/>
              </w:rPr>
              <w:t>D. Not usually reliable</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sz w:val="23"/>
                <w:szCs w:val="23"/>
              </w:rPr>
            </w:pPr>
            <w:r>
              <w:rPr>
                <w:rFonts w:cs="Arial"/>
                <w:sz w:val="23"/>
                <w:szCs w:val="23"/>
              </w:rPr>
              <w:t>4. Doubtful</w:t>
            </w:r>
          </w:p>
        </w:tc>
      </w:tr>
      <w:tr w:rsidR="00AF76D0" w:rsidTr="00AF76D0">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sz w:val="23"/>
                <w:szCs w:val="23"/>
              </w:rPr>
              <w:t>E. Unreliable</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sz w:val="23"/>
                <w:szCs w:val="23"/>
              </w:rPr>
            </w:pPr>
            <w:r>
              <w:rPr>
                <w:rFonts w:cs="Arial"/>
                <w:sz w:val="23"/>
                <w:szCs w:val="23"/>
              </w:rPr>
              <w:t>5. Improbable</w:t>
            </w:r>
          </w:p>
        </w:tc>
      </w:tr>
      <w:tr w:rsidR="00AF76D0" w:rsidTr="00AF76D0">
        <w:trPr>
          <w:trHeight w:val="70"/>
        </w:trPr>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rPr>
                <w:i/>
              </w:rPr>
            </w:pPr>
            <w:r>
              <w:rPr>
                <w:rFonts w:cs="Arial"/>
                <w:sz w:val="23"/>
                <w:szCs w:val="23"/>
              </w:rPr>
              <w:t>F. Reliability cannot be judged</w:t>
            </w:r>
          </w:p>
        </w:tc>
        <w:tc>
          <w:tcPr>
            <w:tcW w:w="4621" w:type="dxa"/>
            <w:tcBorders>
              <w:top w:val="single" w:sz="4" w:space="0" w:color="auto"/>
              <w:left w:val="single" w:sz="4" w:space="0" w:color="auto"/>
              <w:bottom w:val="single" w:sz="4" w:space="0" w:color="auto"/>
              <w:right w:val="single" w:sz="4" w:space="0" w:color="auto"/>
            </w:tcBorders>
            <w:hideMark/>
          </w:tcPr>
          <w:p w:rsidR="00AF76D0" w:rsidRDefault="00AF76D0">
            <w:pPr>
              <w:autoSpaceDE w:val="0"/>
              <w:autoSpaceDN w:val="0"/>
              <w:adjustRightInd w:val="0"/>
              <w:rPr>
                <w:rFonts w:cs="Arial"/>
                <w:sz w:val="23"/>
                <w:szCs w:val="23"/>
              </w:rPr>
            </w:pPr>
            <w:r>
              <w:rPr>
                <w:rFonts w:cs="Arial"/>
                <w:sz w:val="23"/>
                <w:szCs w:val="23"/>
              </w:rPr>
              <w:t>6. Truth cannot be judged</w:t>
            </w:r>
          </w:p>
        </w:tc>
      </w:tr>
    </w:tbl>
    <w:p w:rsidR="00AF76D0" w:rsidRDefault="00AF76D0" w:rsidP="00AF76D0">
      <w:pPr>
        <w:autoSpaceDE w:val="0"/>
        <w:autoSpaceDN w:val="0"/>
        <w:adjustRightInd w:val="0"/>
        <w:spacing w:line="240" w:lineRule="auto"/>
        <w:rPr>
          <w:rFonts w:cs="Arial"/>
          <w:b/>
          <w:bCs/>
          <w:sz w:val="23"/>
          <w:szCs w:val="23"/>
        </w:rPr>
      </w:pPr>
    </w:p>
    <w:p w:rsidR="00AF76D0" w:rsidRDefault="00AF76D0" w:rsidP="0078162D">
      <w:pPr>
        <w:autoSpaceDE w:val="0"/>
        <w:autoSpaceDN w:val="0"/>
        <w:adjustRightInd w:val="0"/>
        <w:spacing w:line="240" w:lineRule="auto"/>
        <w:jc w:val="both"/>
        <w:rPr>
          <w:rFonts w:cs="Arial"/>
          <w:b/>
          <w:bCs/>
          <w:sz w:val="23"/>
          <w:szCs w:val="23"/>
        </w:rPr>
      </w:pPr>
      <w:r>
        <w:rPr>
          <w:rFonts w:cs="Arial"/>
          <w:b/>
          <w:bCs/>
          <w:sz w:val="23"/>
          <w:szCs w:val="23"/>
        </w:rPr>
        <w:t>Reliability of source:</w:t>
      </w:r>
    </w:p>
    <w:p w:rsidR="00AF76D0" w:rsidRDefault="00AF76D0" w:rsidP="0078162D">
      <w:pPr>
        <w:autoSpaceDE w:val="0"/>
        <w:autoSpaceDN w:val="0"/>
        <w:adjustRightInd w:val="0"/>
        <w:spacing w:line="240" w:lineRule="auto"/>
        <w:ind w:left="720" w:hanging="720"/>
        <w:jc w:val="both"/>
        <w:rPr>
          <w:rFonts w:cs="Arial"/>
        </w:rPr>
      </w:pPr>
      <w:r>
        <w:rPr>
          <w:rFonts w:cs="Arial"/>
          <w:b/>
          <w:bCs/>
          <w:sz w:val="23"/>
          <w:szCs w:val="23"/>
        </w:rPr>
        <w:t>A</w:t>
      </w:r>
      <w:r>
        <w:rPr>
          <w:rFonts w:cs="Arial"/>
          <w:b/>
          <w:bCs/>
          <w:sz w:val="23"/>
          <w:szCs w:val="23"/>
        </w:rPr>
        <w:tab/>
      </w:r>
      <w:r>
        <w:rPr>
          <w:rFonts w:cs="Arial"/>
          <w:b/>
          <w:bCs/>
        </w:rPr>
        <w:t xml:space="preserve">Completely reliable </w:t>
      </w:r>
      <w:r>
        <w:rPr>
          <w:rFonts w:cs="Arial"/>
        </w:rPr>
        <w:t>refers to a tried and tested source which may be depended upon with confidence. These are extremely rare and should be kept for special occasions.</w:t>
      </w:r>
    </w:p>
    <w:p w:rsidR="00AF76D0" w:rsidRDefault="00AF76D0" w:rsidP="0078162D">
      <w:pPr>
        <w:autoSpaceDE w:val="0"/>
        <w:autoSpaceDN w:val="0"/>
        <w:adjustRightInd w:val="0"/>
        <w:spacing w:line="240" w:lineRule="auto"/>
        <w:ind w:left="720" w:hanging="720"/>
        <w:jc w:val="both"/>
        <w:rPr>
          <w:rFonts w:cs="Arial"/>
        </w:rPr>
      </w:pPr>
      <w:r>
        <w:rPr>
          <w:rFonts w:cs="Arial"/>
          <w:b/>
          <w:bCs/>
          <w:sz w:val="23"/>
          <w:szCs w:val="23"/>
        </w:rPr>
        <w:t xml:space="preserve">B </w:t>
      </w:r>
      <w:r>
        <w:rPr>
          <w:rFonts w:cs="Arial"/>
          <w:b/>
          <w:bCs/>
          <w:sz w:val="23"/>
          <w:szCs w:val="23"/>
        </w:rPr>
        <w:tab/>
      </w:r>
      <w:r>
        <w:rPr>
          <w:rFonts w:cs="Arial"/>
          <w:b/>
          <w:bCs/>
        </w:rPr>
        <w:t xml:space="preserve">Usually reliable </w:t>
      </w:r>
      <w:r>
        <w:rPr>
          <w:rFonts w:cs="Arial"/>
        </w:rPr>
        <w:t>refers to a source which has been successful in the past but for which there is still some element of doubt in a particular case. This should be used for sources of known integrity such as EU and UN agencies, military entities, some major NGOs, etc.</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C </w:t>
      </w:r>
      <w:r>
        <w:rPr>
          <w:rFonts w:cs="Arial"/>
          <w:b/>
          <w:bCs/>
          <w:sz w:val="23"/>
          <w:szCs w:val="23"/>
        </w:rPr>
        <w:tab/>
      </w:r>
      <w:r>
        <w:rPr>
          <w:rFonts w:cs="Arial"/>
          <w:b/>
          <w:bCs/>
        </w:rPr>
        <w:t xml:space="preserve">Fairly reliable </w:t>
      </w:r>
      <w:r>
        <w:rPr>
          <w:rFonts w:cs="Arial"/>
        </w:rPr>
        <w:t>refers to a source which has occasionally been used in the past and</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upon</w:t>
      </w:r>
      <w:proofErr w:type="gramEnd"/>
      <w:r>
        <w:rPr>
          <w:rFonts w:cs="Arial"/>
        </w:rPr>
        <w:t xml:space="preserve"> which some degree of confidence may be based. Some press sources and</w:t>
      </w:r>
    </w:p>
    <w:p w:rsidR="00AF76D0" w:rsidRDefault="00AF76D0" w:rsidP="0078162D">
      <w:pPr>
        <w:autoSpaceDE w:val="0"/>
        <w:autoSpaceDN w:val="0"/>
        <w:adjustRightInd w:val="0"/>
        <w:spacing w:line="240" w:lineRule="auto"/>
        <w:ind w:firstLine="720"/>
        <w:jc w:val="both"/>
        <w:rPr>
          <w:rFonts w:cs="Arial"/>
        </w:rPr>
      </w:pPr>
      <w:r>
        <w:rPr>
          <w:rFonts w:cs="Arial"/>
        </w:rPr>
        <w:t>NGOs could fit in here.</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D </w:t>
      </w:r>
      <w:r>
        <w:rPr>
          <w:rFonts w:cs="Arial"/>
          <w:b/>
          <w:bCs/>
          <w:sz w:val="23"/>
          <w:szCs w:val="23"/>
        </w:rPr>
        <w:tab/>
      </w:r>
      <w:r>
        <w:rPr>
          <w:rFonts w:cs="Arial"/>
          <w:b/>
          <w:bCs/>
        </w:rPr>
        <w:t xml:space="preserve">Not usually reliable </w:t>
      </w:r>
      <w:r>
        <w:rPr>
          <w:rFonts w:cs="Arial"/>
        </w:rPr>
        <w:t>refers to a source which has been used in the past but has</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proved</w:t>
      </w:r>
      <w:proofErr w:type="gramEnd"/>
      <w:r>
        <w:rPr>
          <w:rFonts w:cs="Arial"/>
        </w:rPr>
        <w:t xml:space="preserve"> more often than not to be unreliable. Some press sources and NGOs could fit</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in</w:t>
      </w:r>
      <w:proofErr w:type="gramEnd"/>
      <w:r>
        <w:rPr>
          <w:rFonts w:cs="Arial"/>
        </w:rPr>
        <w:t xml:space="preserve"> here.</w:t>
      </w:r>
    </w:p>
    <w:p w:rsidR="00AF76D0" w:rsidRDefault="00AF76D0" w:rsidP="0078162D">
      <w:pPr>
        <w:autoSpaceDE w:val="0"/>
        <w:autoSpaceDN w:val="0"/>
        <w:adjustRightInd w:val="0"/>
        <w:spacing w:line="240" w:lineRule="auto"/>
        <w:jc w:val="both"/>
        <w:rPr>
          <w:rFonts w:cs="Arial"/>
        </w:rPr>
      </w:pPr>
      <w:r>
        <w:rPr>
          <w:rFonts w:cs="Arial"/>
          <w:b/>
          <w:bCs/>
          <w:sz w:val="23"/>
          <w:szCs w:val="23"/>
        </w:rPr>
        <w:t>E</w:t>
      </w:r>
      <w:r>
        <w:rPr>
          <w:rFonts w:cs="Arial"/>
          <w:b/>
          <w:bCs/>
          <w:sz w:val="23"/>
          <w:szCs w:val="23"/>
        </w:rPr>
        <w:tab/>
      </w:r>
      <w:r>
        <w:rPr>
          <w:rFonts w:cs="Arial"/>
          <w:b/>
          <w:bCs/>
        </w:rPr>
        <w:t xml:space="preserve">Unreliable </w:t>
      </w:r>
      <w:r>
        <w:rPr>
          <w:rFonts w:cs="Arial"/>
        </w:rPr>
        <w:t>refers to a source which has been used in the past and has been proven</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unworthy</w:t>
      </w:r>
      <w:proofErr w:type="gramEnd"/>
      <w:r>
        <w:rPr>
          <w:rFonts w:cs="Arial"/>
        </w:rPr>
        <w:t xml:space="preserve"> of any confidence.</w:t>
      </w:r>
    </w:p>
    <w:p w:rsidR="00AF76D0" w:rsidRDefault="00AF76D0" w:rsidP="0078162D">
      <w:pPr>
        <w:ind w:left="720" w:hanging="720"/>
        <w:jc w:val="both"/>
        <w:rPr>
          <w:rFonts w:cs="Arial"/>
        </w:rPr>
      </w:pPr>
      <w:r>
        <w:rPr>
          <w:rFonts w:cs="Arial"/>
          <w:b/>
          <w:bCs/>
          <w:sz w:val="23"/>
          <w:szCs w:val="23"/>
        </w:rPr>
        <w:t>F</w:t>
      </w:r>
      <w:r>
        <w:rPr>
          <w:rFonts w:cs="Arial"/>
          <w:b/>
          <w:bCs/>
          <w:sz w:val="23"/>
          <w:szCs w:val="23"/>
        </w:rPr>
        <w:tab/>
      </w:r>
      <w:r>
        <w:rPr>
          <w:rFonts w:cs="Arial"/>
          <w:b/>
          <w:bCs/>
        </w:rPr>
        <w:t xml:space="preserve">Reliability cannot be judged </w:t>
      </w:r>
      <w:r>
        <w:rPr>
          <w:rFonts w:cs="Arial"/>
        </w:rPr>
        <w:t>refers to a source which has not been used in the past.</w:t>
      </w:r>
    </w:p>
    <w:p w:rsidR="00AF76D0" w:rsidRDefault="00AF76D0" w:rsidP="0078162D">
      <w:pPr>
        <w:jc w:val="both"/>
        <w:rPr>
          <w:rFonts w:cs="Arial"/>
        </w:rPr>
      </w:pPr>
    </w:p>
    <w:p w:rsidR="00AF76D0" w:rsidRDefault="00AF76D0" w:rsidP="0078162D">
      <w:pPr>
        <w:autoSpaceDE w:val="0"/>
        <w:autoSpaceDN w:val="0"/>
        <w:adjustRightInd w:val="0"/>
        <w:spacing w:line="240" w:lineRule="auto"/>
        <w:jc w:val="both"/>
        <w:rPr>
          <w:rFonts w:cs="Arial"/>
          <w:b/>
          <w:bCs/>
          <w:sz w:val="23"/>
          <w:szCs w:val="23"/>
        </w:rPr>
      </w:pPr>
      <w:r>
        <w:rPr>
          <w:rFonts w:cs="Arial"/>
          <w:b/>
          <w:bCs/>
          <w:sz w:val="23"/>
          <w:szCs w:val="23"/>
        </w:rPr>
        <w:t>Credibility of data:</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1 </w:t>
      </w:r>
      <w:r>
        <w:rPr>
          <w:rFonts w:cs="Arial"/>
          <w:b/>
          <w:bCs/>
          <w:sz w:val="23"/>
          <w:szCs w:val="23"/>
        </w:rPr>
        <w:tab/>
      </w:r>
      <w:r>
        <w:rPr>
          <w:rFonts w:cs="Arial"/>
          <w:b/>
          <w:bCs/>
        </w:rPr>
        <w:t xml:space="preserve">Confirmed </w:t>
      </w:r>
      <w:r>
        <w:rPr>
          <w:rFonts w:cs="Arial"/>
        </w:rPr>
        <w:t>by other sources is applicable whe</w:t>
      </w:r>
      <w:bookmarkStart w:id="1" w:name="_GoBack"/>
      <w:bookmarkEnd w:id="1"/>
      <w:r>
        <w:rPr>
          <w:rFonts w:cs="Arial"/>
        </w:rPr>
        <w:t>n a source different than the originally</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reporting</w:t>
      </w:r>
      <w:proofErr w:type="gramEnd"/>
      <w:r>
        <w:rPr>
          <w:rFonts w:cs="Arial"/>
        </w:rPr>
        <w:t xml:space="preserve"> one confirms the data independently of the first source.</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2 </w:t>
      </w:r>
      <w:r>
        <w:rPr>
          <w:rFonts w:cs="Arial"/>
          <w:b/>
          <w:bCs/>
          <w:sz w:val="23"/>
          <w:szCs w:val="23"/>
        </w:rPr>
        <w:tab/>
      </w:r>
      <w:r>
        <w:rPr>
          <w:rFonts w:cs="Arial"/>
          <w:b/>
          <w:bCs/>
        </w:rPr>
        <w:t xml:space="preserve">Probably true </w:t>
      </w:r>
      <w:r>
        <w:rPr>
          <w:rFonts w:cs="Arial"/>
        </w:rPr>
        <w:t>indicates confirmation of essential parts of reported data by another</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source</w:t>
      </w:r>
      <w:proofErr w:type="gramEnd"/>
      <w:r>
        <w:rPr>
          <w:rFonts w:cs="Arial"/>
        </w:rPr>
        <w:t>. Aerial imagery is included in this category.</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3 </w:t>
      </w:r>
      <w:r>
        <w:rPr>
          <w:rFonts w:cs="Arial"/>
          <w:b/>
          <w:bCs/>
          <w:sz w:val="23"/>
          <w:szCs w:val="23"/>
        </w:rPr>
        <w:tab/>
      </w:r>
      <w:r>
        <w:rPr>
          <w:rFonts w:cs="Arial"/>
          <w:b/>
          <w:bCs/>
        </w:rPr>
        <w:t xml:space="preserve">Possibly true </w:t>
      </w:r>
      <w:r>
        <w:rPr>
          <w:rFonts w:cs="Arial"/>
        </w:rPr>
        <w:t>means that investigation of a reported fact or action has revealed no</w:t>
      </w:r>
    </w:p>
    <w:p w:rsidR="00AF76D0" w:rsidRDefault="00AF76D0" w:rsidP="0078162D">
      <w:pPr>
        <w:autoSpaceDE w:val="0"/>
        <w:autoSpaceDN w:val="0"/>
        <w:adjustRightInd w:val="0"/>
        <w:spacing w:line="240" w:lineRule="auto"/>
        <w:ind w:left="720"/>
        <w:jc w:val="both"/>
        <w:rPr>
          <w:rFonts w:cs="Arial"/>
        </w:rPr>
      </w:pPr>
      <w:proofErr w:type="gramStart"/>
      <w:r>
        <w:rPr>
          <w:rFonts w:cs="Arial"/>
        </w:rPr>
        <w:t>further</w:t>
      </w:r>
      <w:proofErr w:type="gramEnd"/>
      <w:r>
        <w:rPr>
          <w:rFonts w:cs="Arial"/>
        </w:rPr>
        <w:t xml:space="preserve"> data, however the data is compatible with previous actions or background data available.</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4 </w:t>
      </w:r>
      <w:r>
        <w:rPr>
          <w:rFonts w:cs="Arial"/>
          <w:b/>
          <w:bCs/>
          <w:sz w:val="23"/>
          <w:szCs w:val="23"/>
        </w:rPr>
        <w:tab/>
      </w:r>
      <w:r>
        <w:rPr>
          <w:rFonts w:cs="Arial"/>
          <w:b/>
          <w:bCs/>
        </w:rPr>
        <w:t xml:space="preserve">Doubtful </w:t>
      </w:r>
      <w:r>
        <w:rPr>
          <w:rFonts w:cs="Arial"/>
        </w:rPr>
        <w:t>is applicable to an item of data if it tends to conflict with previously reported</w:t>
      </w:r>
    </w:p>
    <w:p w:rsidR="00AF76D0" w:rsidRDefault="00AF76D0" w:rsidP="0078162D">
      <w:pPr>
        <w:autoSpaceDE w:val="0"/>
        <w:autoSpaceDN w:val="0"/>
        <w:adjustRightInd w:val="0"/>
        <w:spacing w:line="240" w:lineRule="auto"/>
        <w:ind w:firstLine="720"/>
        <w:jc w:val="both"/>
        <w:rPr>
          <w:rFonts w:cs="Arial"/>
        </w:rPr>
      </w:pPr>
      <w:proofErr w:type="gramStart"/>
      <w:r>
        <w:rPr>
          <w:rFonts w:cs="Arial"/>
        </w:rPr>
        <w:t>data</w:t>
      </w:r>
      <w:proofErr w:type="gramEnd"/>
      <w:r>
        <w:rPr>
          <w:rFonts w:cs="Arial"/>
        </w:rPr>
        <w:t>.</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5 </w:t>
      </w:r>
      <w:r>
        <w:rPr>
          <w:rFonts w:cs="Arial"/>
          <w:b/>
          <w:bCs/>
          <w:sz w:val="23"/>
          <w:szCs w:val="23"/>
        </w:rPr>
        <w:tab/>
      </w:r>
      <w:r>
        <w:rPr>
          <w:rFonts w:cs="Arial"/>
          <w:b/>
          <w:bCs/>
        </w:rPr>
        <w:t xml:space="preserve">Improbable </w:t>
      </w:r>
      <w:r>
        <w:rPr>
          <w:rFonts w:cs="Arial"/>
        </w:rPr>
        <w:t>is applicable if an item of data contradicts previously reported data.</w:t>
      </w:r>
    </w:p>
    <w:p w:rsidR="00AF76D0" w:rsidRDefault="00AF76D0" w:rsidP="0078162D">
      <w:pPr>
        <w:autoSpaceDE w:val="0"/>
        <w:autoSpaceDN w:val="0"/>
        <w:adjustRightInd w:val="0"/>
        <w:spacing w:line="240" w:lineRule="auto"/>
        <w:jc w:val="both"/>
        <w:rPr>
          <w:rFonts w:cs="Arial"/>
        </w:rPr>
      </w:pPr>
      <w:r>
        <w:rPr>
          <w:rFonts w:cs="Arial"/>
          <w:b/>
          <w:bCs/>
          <w:sz w:val="23"/>
          <w:szCs w:val="23"/>
        </w:rPr>
        <w:t xml:space="preserve">6 </w:t>
      </w:r>
      <w:r>
        <w:rPr>
          <w:rFonts w:cs="Arial"/>
          <w:b/>
          <w:bCs/>
          <w:sz w:val="23"/>
          <w:szCs w:val="23"/>
        </w:rPr>
        <w:tab/>
      </w:r>
      <w:r>
        <w:rPr>
          <w:rFonts w:cs="Arial"/>
          <w:b/>
          <w:bCs/>
        </w:rPr>
        <w:t xml:space="preserve">Truth cannot be judged </w:t>
      </w:r>
      <w:r>
        <w:rPr>
          <w:rFonts w:cs="Arial"/>
        </w:rPr>
        <w:t>is applicable if any freshly reported item of data cannot be</w:t>
      </w:r>
    </w:p>
    <w:p w:rsidR="00AF76D0" w:rsidRDefault="00AF76D0" w:rsidP="0078162D">
      <w:pPr>
        <w:autoSpaceDE w:val="0"/>
        <w:autoSpaceDN w:val="0"/>
        <w:adjustRightInd w:val="0"/>
        <w:spacing w:line="240" w:lineRule="auto"/>
        <w:ind w:left="720"/>
        <w:jc w:val="both"/>
        <w:rPr>
          <w:rFonts w:cs="Arial"/>
        </w:rPr>
      </w:pPr>
      <w:proofErr w:type="gramStart"/>
      <w:r>
        <w:rPr>
          <w:rFonts w:cs="Arial"/>
        </w:rPr>
        <w:t>compared</w:t>
      </w:r>
      <w:proofErr w:type="gramEnd"/>
      <w:r>
        <w:rPr>
          <w:rFonts w:cs="Arial"/>
        </w:rPr>
        <w:t xml:space="preserve"> with data from any other source. It is used when 1-5 cannot be applied. It preferred to use a rating of 6 rather than an inaccurate 1-5 rating.</w:t>
      </w:r>
    </w:p>
    <w:p w:rsidR="00AF76D0" w:rsidRDefault="00AF76D0" w:rsidP="0078162D">
      <w:pPr>
        <w:jc w:val="both"/>
        <w:rPr>
          <w:rFonts w:cs="Arial"/>
        </w:rPr>
      </w:pPr>
    </w:p>
    <w:p w:rsidR="00AF76D0" w:rsidRDefault="00AF76D0" w:rsidP="0078162D">
      <w:pPr>
        <w:autoSpaceDE w:val="0"/>
        <w:autoSpaceDN w:val="0"/>
        <w:adjustRightInd w:val="0"/>
        <w:spacing w:line="240" w:lineRule="auto"/>
        <w:jc w:val="both"/>
        <w:rPr>
          <w:rFonts w:cs="Arial"/>
          <w:sz w:val="23"/>
          <w:szCs w:val="23"/>
        </w:rPr>
      </w:pPr>
      <w:r>
        <w:rPr>
          <w:rFonts w:cs="Arial"/>
          <w:sz w:val="23"/>
          <w:szCs w:val="23"/>
        </w:rPr>
        <w:t>The rating is not a progressive degree of accuracy. It only helps to formalize the credibility of data received. Therefore it is not foolproof. The letters and numerals are independent of each other and give an overall evaluation of the data. For example, a source known to be unreliable (E) might provide accurate data which is confirmed by other sources and therefore given the rating of E1. Additionally, a report evaluated as F6</w:t>
      </w:r>
    </w:p>
    <w:p w:rsidR="00AF76D0" w:rsidRDefault="00AF76D0" w:rsidP="0078162D">
      <w:pPr>
        <w:autoSpaceDE w:val="0"/>
        <w:autoSpaceDN w:val="0"/>
        <w:adjustRightInd w:val="0"/>
        <w:spacing w:line="240" w:lineRule="auto"/>
        <w:jc w:val="both"/>
        <w:rPr>
          <w:rFonts w:cs="Arial"/>
          <w:sz w:val="23"/>
          <w:szCs w:val="23"/>
        </w:rPr>
      </w:pPr>
      <w:proofErr w:type="gramStart"/>
      <w:r>
        <w:rPr>
          <w:rFonts w:cs="Arial"/>
          <w:sz w:val="23"/>
          <w:szCs w:val="23"/>
        </w:rPr>
        <w:t>maybe</w:t>
      </w:r>
      <w:proofErr w:type="gramEnd"/>
      <w:r>
        <w:rPr>
          <w:rFonts w:cs="Arial"/>
          <w:sz w:val="23"/>
          <w:szCs w:val="23"/>
        </w:rPr>
        <w:t xml:space="preserve"> totally accurate and should not be routinely disregarded.</w:t>
      </w:r>
    </w:p>
    <w:p w:rsidR="00AF76D0" w:rsidRDefault="00AF76D0" w:rsidP="0078162D">
      <w:pPr>
        <w:autoSpaceDE w:val="0"/>
        <w:autoSpaceDN w:val="0"/>
        <w:adjustRightInd w:val="0"/>
        <w:spacing w:line="240" w:lineRule="auto"/>
        <w:jc w:val="both"/>
        <w:rPr>
          <w:rFonts w:cs="Arial"/>
          <w:sz w:val="23"/>
          <w:szCs w:val="23"/>
        </w:rPr>
      </w:pPr>
    </w:p>
    <w:p w:rsidR="00AE6398" w:rsidRDefault="00AF76D0" w:rsidP="0078162D">
      <w:pPr>
        <w:autoSpaceDE w:val="0"/>
        <w:autoSpaceDN w:val="0"/>
        <w:adjustRightInd w:val="0"/>
        <w:spacing w:line="240" w:lineRule="auto"/>
        <w:jc w:val="both"/>
      </w:pPr>
      <w:r>
        <w:rPr>
          <w:rFonts w:cs="Arial"/>
          <w:i/>
          <w:szCs w:val="20"/>
        </w:rPr>
        <w:t xml:space="preserve">Source: EU - </w:t>
      </w:r>
      <w:r>
        <w:rPr>
          <w:rStyle w:val="apple-style-span"/>
          <w:rFonts w:cs="Arial"/>
          <w:bCs/>
          <w:i/>
          <w:color w:val="000000"/>
          <w:szCs w:val="20"/>
        </w:rPr>
        <w:t>Assessment manual of best practices in various types of emergency</w:t>
      </w:r>
    </w:p>
    <w:sectPr w:rsidR="00AE6398" w:rsidSect="00AE6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C3A80"/>
    <w:multiLevelType w:val="multilevel"/>
    <w:tmpl w:val="C3A89CD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AF76D0"/>
    <w:rsid w:val="0018502B"/>
    <w:rsid w:val="00260BA9"/>
    <w:rsid w:val="00267DA5"/>
    <w:rsid w:val="002C2C71"/>
    <w:rsid w:val="004154FC"/>
    <w:rsid w:val="004F099E"/>
    <w:rsid w:val="00593F51"/>
    <w:rsid w:val="005A1F6B"/>
    <w:rsid w:val="005E4AAF"/>
    <w:rsid w:val="00686A64"/>
    <w:rsid w:val="007441F9"/>
    <w:rsid w:val="0078162D"/>
    <w:rsid w:val="00797219"/>
    <w:rsid w:val="00837466"/>
    <w:rsid w:val="00841828"/>
    <w:rsid w:val="00873705"/>
    <w:rsid w:val="009725BA"/>
    <w:rsid w:val="009868A8"/>
    <w:rsid w:val="009C5FA3"/>
    <w:rsid w:val="009E0A18"/>
    <w:rsid w:val="00A406EC"/>
    <w:rsid w:val="00A968EF"/>
    <w:rsid w:val="00AA5F42"/>
    <w:rsid w:val="00AE6398"/>
    <w:rsid w:val="00AF76D0"/>
    <w:rsid w:val="00B96DB8"/>
    <w:rsid w:val="00C34972"/>
    <w:rsid w:val="00C75463"/>
    <w:rsid w:val="00D323E2"/>
    <w:rsid w:val="00DA19FD"/>
    <w:rsid w:val="00E01270"/>
    <w:rsid w:val="00F17004"/>
    <w:rsid w:val="00FA280F"/>
    <w:rsid w:val="00FB1B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Arial"/>
        <w:kern w:val="32"/>
        <w:sz w:val="22"/>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D0"/>
    <w:pPr>
      <w:spacing w:after="0"/>
    </w:pPr>
    <w:rPr>
      <w:rFonts w:ascii="Arial" w:hAnsi="Arial" w:cstheme="minorBidi"/>
      <w:kern w:val="0"/>
      <w:szCs w:val="22"/>
      <w:lang w:val="en-GB"/>
    </w:rPr>
  </w:style>
  <w:style w:type="paragraph" w:styleId="Heading1">
    <w:name w:val="heading 1"/>
    <w:basedOn w:val="Normal"/>
    <w:next w:val="Normal"/>
    <w:link w:val="Heading1Char"/>
    <w:uiPriority w:val="9"/>
    <w:qFormat/>
    <w:rsid w:val="00AF76D0"/>
    <w:pPr>
      <w:keepNext/>
      <w:keepLines/>
      <w:numPr>
        <w:numId w:val="1"/>
      </w:numPr>
      <w:spacing w:before="120" w:after="120"/>
      <w:outlineLvl w:val="0"/>
    </w:pPr>
    <w:rPr>
      <w:rFonts w:eastAsiaTheme="majorEastAsia" w:cstheme="majorBidi"/>
      <w:b/>
      <w:bCs/>
      <w:color w:val="365F91" w:themeColor="accent1" w:themeShade="BF"/>
      <w:sz w:val="26"/>
      <w:szCs w:val="28"/>
    </w:rPr>
  </w:style>
  <w:style w:type="paragraph" w:styleId="Heading2">
    <w:name w:val="heading 2"/>
    <w:basedOn w:val="Normal"/>
    <w:next w:val="Normal"/>
    <w:link w:val="Heading2Char"/>
    <w:uiPriority w:val="9"/>
    <w:semiHidden/>
    <w:unhideWhenUsed/>
    <w:qFormat/>
    <w:rsid w:val="00AF76D0"/>
    <w:pPr>
      <w:keepNext/>
      <w:keepLines/>
      <w:numPr>
        <w:ilvl w:val="1"/>
        <w:numId w:val="1"/>
      </w:numPr>
      <w:outlineLvl w:val="1"/>
    </w:pPr>
    <w:rPr>
      <w:rFonts w:eastAsiaTheme="majorEastAsia" w:cstheme="majorBidi"/>
      <w:b/>
      <w:bCs/>
      <w:color w:val="4F81BD" w:themeColor="accent1"/>
      <w:szCs w:val="26"/>
    </w:rPr>
  </w:style>
  <w:style w:type="paragraph" w:styleId="Heading5">
    <w:name w:val="heading 5"/>
    <w:basedOn w:val="Normal"/>
    <w:next w:val="Normal"/>
    <w:link w:val="Heading5Char"/>
    <w:uiPriority w:val="9"/>
    <w:semiHidden/>
    <w:unhideWhenUsed/>
    <w:qFormat/>
    <w:rsid w:val="00AF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593F51"/>
    <w:rPr>
      <w:color w:val="auto"/>
      <w:u w:val="single"/>
    </w:rPr>
  </w:style>
  <w:style w:type="character" w:customStyle="1" w:styleId="Heading1Char">
    <w:name w:val="Heading 1 Char"/>
    <w:basedOn w:val="DefaultParagraphFont"/>
    <w:link w:val="Heading1"/>
    <w:uiPriority w:val="9"/>
    <w:rsid w:val="00AF76D0"/>
    <w:rPr>
      <w:rFonts w:ascii="Arial" w:eastAsiaTheme="majorEastAsia" w:hAnsi="Arial" w:cstheme="majorBidi"/>
      <w:b/>
      <w:bCs/>
      <w:color w:val="365F91" w:themeColor="accent1" w:themeShade="BF"/>
      <w:kern w:val="0"/>
      <w:sz w:val="26"/>
      <w:szCs w:val="28"/>
      <w:lang w:val="en-GB"/>
    </w:rPr>
  </w:style>
  <w:style w:type="character" w:customStyle="1" w:styleId="Heading2Char">
    <w:name w:val="Heading 2 Char"/>
    <w:basedOn w:val="DefaultParagraphFont"/>
    <w:link w:val="Heading2"/>
    <w:uiPriority w:val="9"/>
    <w:semiHidden/>
    <w:rsid w:val="00AF76D0"/>
    <w:rPr>
      <w:rFonts w:ascii="Arial" w:eastAsiaTheme="majorEastAsia" w:hAnsi="Arial" w:cstheme="majorBidi"/>
      <w:b/>
      <w:bCs/>
      <w:color w:val="4F81BD" w:themeColor="accent1"/>
      <w:kern w:val="0"/>
      <w:szCs w:val="26"/>
      <w:lang w:val="en-GB"/>
    </w:rPr>
  </w:style>
  <w:style w:type="character" w:customStyle="1" w:styleId="Heading5Char">
    <w:name w:val="Heading 5 Char"/>
    <w:basedOn w:val="DefaultParagraphFont"/>
    <w:link w:val="Heading5"/>
    <w:uiPriority w:val="9"/>
    <w:semiHidden/>
    <w:rsid w:val="00AF76D0"/>
    <w:rPr>
      <w:rFonts w:asciiTheme="majorHAnsi" w:eastAsiaTheme="majorEastAsia" w:hAnsiTheme="majorHAnsi" w:cstheme="majorBidi"/>
      <w:color w:val="243F60" w:themeColor="accent1" w:themeShade="7F"/>
      <w:kern w:val="0"/>
      <w:szCs w:val="22"/>
      <w:lang w:val="en-GB"/>
    </w:rPr>
  </w:style>
  <w:style w:type="character" w:customStyle="1" w:styleId="Heading6Char">
    <w:name w:val="Heading 6 Char"/>
    <w:basedOn w:val="DefaultParagraphFont"/>
    <w:link w:val="Heading6"/>
    <w:uiPriority w:val="9"/>
    <w:semiHidden/>
    <w:rsid w:val="00AF76D0"/>
    <w:rPr>
      <w:rFonts w:asciiTheme="majorHAnsi" w:eastAsiaTheme="majorEastAsia" w:hAnsiTheme="majorHAnsi" w:cstheme="majorBidi"/>
      <w:i/>
      <w:iCs/>
      <w:color w:val="243F60" w:themeColor="accent1" w:themeShade="7F"/>
      <w:kern w:val="0"/>
      <w:szCs w:val="22"/>
      <w:lang w:val="en-GB"/>
    </w:rPr>
  </w:style>
  <w:style w:type="character" w:customStyle="1" w:styleId="Heading7Char">
    <w:name w:val="Heading 7 Char"/>
    <w:basedOn w:val="DefaultParagraphFont"/>
    <w:link w:val="Heading7"/>
    <w:uiPriority w:val="9"/>
    <w:semiHidden/>
    <w:rsid w:val="00AF76D0"/>
    <w:rPr>
      <w:rFonts w:asciiTheme="majorHAnsi" w:eastAsiaTheme="majorEastAsia" w:hAnsiTheme="majorHAnsi" w:cstheme="majorBidi"/>
      <w:i/>
      <w:iCs/>
      <w:color w:val="404040" w:themeColor="text1" w:themeTint="BF"/>
      <w:kern w:val="0"/>
      <w:szCs w:val="22"/>
      <w:lang w:val="en-GB"/>
    </w:rPr>
  </w:style>
  <w:style w:type="character" w:customStyle="1" w:styleId="Heading8Char">
    <w:name w:val="Heading 8 Char"/>
    <w:basedOn w:val="DefaultParagraphFont"/>
    <w:link w:val="Heading8"/>
    <w:uiPriority w:val="9"/>
    <w:semiHidden/>
    <w:rsid w:val="00AF76D0"/>
    <w:rPr>
      <w:rFonts w:asciiTheme="majorHAnsi" w:eastAsiaTheme="majorEastAsia" w:hAnsiTheme="majorHAnsi" w:cstheme="majorBidi"/>
      <w:color w:val="404040" w:themeColor="text1" w:themeTint="BF"/>
      <w:kern w:val="0"/>
      <w:sz w:val="20"/>
      <w:szCs w:val="20"/>
      <w:lang w:val="en-GB"/>
    </w:rPr>
  </w:style>
  <w:style w:type="character" w:customStyle="1" w:styleId="Heading9Char">
    <w:name w:val="Heading 9 Char"/>
    <w:basedOn w:val="DefaultParagraphFont"/>
    <w:link w:val="Heading9"/>
    <w:uiPriority w:val="9"/>
    <w:semiHidden/>
    <w:rsid w:val="00AF76D0"/>
    <w:rPr>
      <w:rFonts w:asciiTheme="majorHAnsi" w:eastAsiaTheme="majorEastAsia" w:hAnsiTheme="majorHAnsi" w:cstheme="majorBidi"/>
      <w:i/>
      <w:iCs/>
      <w:color w:val="404040" w:themeColor="text1" w:themeTint="BF"/>
      <w:kern w:val="0"/>
      <w:sz w:val="20"/>
      <w:szCs w:val="20"/>
      <w:lang w:val="en-GB"/>
    </w:rPr>
  </w:style>
  <w:style w:type="character" w:customStyle="1" w:styleId="apple-style-span">
    <w:name w:val="apple-style-span"/>
    <w:basedOn w:val="DefaultParagraphFont"/>
    <w:rsid w:val="00AF76D0"/>
  </w:style>
  <w:style w:type="table" w:styleId="TableGrid">
    <w:name w:val="Table Grid"/>
    <w:basedOn w:val="TableNormal"/>
    <w:uiPriority w:val="59"/>
    <w:rsid w:val="00AF76D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2434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 manager</dc:creator>
  <cp:lastModifiedBy>emergency</cp:lastModifiedBy>
  <cp:revision>5</cp:revision>
  <dcterms:created xsi:type="dcterms:W3CDTF">2011-11-27T17:37:00Z</dcterms:created>
  <dcterms:modified xsi:type="dcterms:W3CDTF">2012-05-02T13:36:00Z</dcterms:modified>
</cp:coreProperties>
</file>