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30254" w14:textId="77777777" w:rsidR="00C20608" w:rsidRPr="000A0486" w:rsidRDefault="00C20608" w:rsidP="00C20608">
      <w:pPr>
        <w:jc w:val="center"/>
        <w:rPr>
          <w:rFonts w:asciiTheme="majorHAnsi" w:hAnsiTheme="majorHAnsi" w:cstheme="minorHAnsi"/>
          <w:b/>
          <w:lang w:val="en-GB"/>
        </w:rPr>
      </w:pPr>
      <w:r w:rsidRPr="00C20608">
        <w:rPr>
          <w:rFonts w:asciiTheme="majorHAnsi" w:hAnsiTheme="majorHAnsi" w:cstheme="minorHAnsi"/>
          <w:b/>
          <w:u w:val="single"/>
          <w:lang w:val="en-GB"/>
        </w:rPr>
        <w:t>INTERVIEW GUIDE</w:t>
      </w:r>
      <w:r>
        <w:rPr>
          <w:rFonts w:asciiTheme="majorHAnsi" w:hAnsiTheme="majorHAnsi" w:cstheme="minorHAnsi"/>
          <w:b/>
          <w:lang w:val="en-GB"/>
        </w:rPr>
        <w:t xml:space="preserve"> - </w:t>
      </w:r>
      <w:r w:rsidRPr="000A0486">
        <w:rPr>
          <w:rFonts w:asciiTheme="majorHAnsi" w:hAnsiTheme="majorHAnsi" w:cstheme="minorHAnsi"/>
          <w:b/>
          <w:lang w:val="en-GB"/>
        </w:rPr>
        <w:t>Information for Facilitators by Group</w:t>
      </w:r>
    </w:p>
    <w:p w14:paraId="74CD4267" w14:textId="77777777" w:rsidR="00C20608" w:rsidRPr="000A0486" w:rsidRDefault="00C20608" w:rsidP="00C20608">
      <w:pPr>
        <w:pStyle w:val="ListParagraph"/>
        <w:numPr>
          <w:ilvl w:val="0"/>
          <w:numId w:val="2"/>
        </w:numPr>
        <w:ind w:left="360"/>
        <w:contextualSpacing/>
        <w:jc w:val="left"/>
        <w:rPr>
          <w:rFonts w:asciiTheme="majorHAnsi" w:hAnsiTheme="majorHAnsi" w:cstheme="minorHAnsi"/>
          <w:sz w:val="22"/>
          <w:szCs w:val="22"/>
          <w:u w:val="single"/>
          <w:lang w:val="en-GB"/>
        </w:rPr>
      </w:pPr>
      <w:r w:rsidRPr="000A0486">
        <w:rPr>
          <w:rFonts w:asciiTheme="majorHAnsi" w:hAnsiTheme="majorHAnsi" w:cstheme="minorHAnsi"/>
          <w:sz w:val="22"/>
          <w:szCs w:val="22"/>
          <w:u w:val="single"/>
          <w:lang w:val="en-GB"/>
        </w:rPr>
        <w:t>Legal and Policy: Juvenile Judge</w:t>
      </w:r>
    </w:p>
    <w:p w14:paraId="01796D39" w14:textId="77777777" w:rsidR="00C20608" w:rsidRPr="000A0486" w:rsidRDefault="00C20608" w:rsidP="00C20608">
      <w:pPr>
        <w:spacing w:before="240"/>
        <w:rPr>
          <w:rFonts w:asciiTheme="majorHAnsi" w:hAnsiTheme="majorHAnsi" w:cstheme="minorHAnsi"/>
          <w:b/>
          <w:lang w:val="en-GB"/>
        </w:rPr>
      </w:pPr>
      <w:r w:rsidRPr="000A0486">
        <w:rPr>
          <w:rFonts w:asciiTheme="majorHAnsi" w:hAnsiTheme="majorHAnsi" w:cstheme="minorHAnsi"/>
          <w:b/>
          <w:lang w:val="en-GB"/>
        </w:rPr>
        <w:t>From “Key Players” &amp; “Key Actors”:</w:t>
      </w:r>
    </w:p>
    <w:p w14:paraId="2A5FC44D" w14:textId="77777777" w:rsidR="00C20608" w:rsidRPr="000A0486" w:rsidRDefault="00C20608" w:rsidP="00C20608">
      <w:pPr>
        <w:spacing w:before="200" w:after="0"/>
        <w:rPr>
          <w:rFonts w:asciiTheme="majorHAnsi" w:hAnsiTheme="majorHAnsi"/>
          <w:lang w:val="en-GB"/>
        </w:rPr>
      </w:pPr>
      <w:r w:rsidRPr="000A0486">
        <w:rPr>
          <w:rFonts w:asciiTheme="majorHAnsi" w:hAnsiTheme="majorHAnsi"/>
          <w:b/>
          <w:u w:val="single"/>
          <w:lang w:val="en-GB"/>
        </w:rPr>
        <w:t xml:space="preserve">From MoJ – </w:t>
      </w:r>
      <w:r w:rsidRPr="000A0486">
        <w:rPr>
          <w:rFonts w:asciiTheme="majorHAnsi" w:hAnsiTheme="majorHAnsi"/>
          <w:i/>
          <w:u w:val="single"/>
          <w:lang w:val="en-GB"/>
        </w:rPr>
        <w:t>The Office for the Administration of Justice</w:t>
      </w:r>
      <w:r w:rsidRPr="000A0486">
        <w:rPr>
          <w:rFonts w:asciiTheme="majorHAnsi" w:hAnsiTheme="majorHAnsi"/>
          <w:lang w:val="en-GB"/>
        </w:rPr>
        <w:t xml:space="preserve"> – Widely considered corrupt and inept. It does not monitor judicial behaviour. Genesians have no recourse if they are unhappy with an outcome in the courts. There are very few judges in areas outside of Collinstown.</w:t>
      </w:r>
    </w:p>
    <w:p w14:paraId="36FA9857" w14:textId="77777777" w:rsidR="00C20608" w:rsidRPr="000A0486" w:rsidRDefault="00C20608" w:rsidP="00C20608">
      <w:pPr>
        <w:pStyle w:val="Standard"/>
        <w:rPr>
          <w:rFonts w:asciiTheme="majorHAnsi" w:hAnsiTheme="majorHAnsi"/>
        </w:rPr>
      </w:pPr>
      <w:r w:rsidRPr="000A0486">
        <w:rPr>
          <w:rFonts w:asciiTheme="majorHAnsi" w:hAnsiTheme="majorHAnsi"/>
          <w:b/>
          <w:u w:val="single"/>
        </w:rPr>
        <w:t>Genesian Human Rights Commission</w:t>
      </w:r>
      <w:r w:rsidRPr="000A0486">
        <w:rPr>
          <w:rFonts w:asciiTheme="majorHAnsi" w:hAnsiTheme="majorHAnsi"/>
          <w:b/>
        </w:rPr>
        <w:t xml:space="preserve"> (GHRC)</w:t>
      </w:r>
    </w:p>
    <w:p w14:paraId="46B302D5"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This is a quasi-independent Human Rights Commission established by the parliament and operating under a legal mandate. Whilst based in the capital, Collinstown, there is also a bureau in Jelton City, Jelton. The Director of the GHRC is selected by the President on the basis of a list of final candidates selected by Parliament. </w:t>
      </w:r>
    </w:p>
    <w:p w14:paraId="5C80709B" w14:textId="77777777" w:rsidR="00C20608" w:rsidRPr="000A0486" w:rsidRDefault="00C20608" w:rsidP="00C20608">
      <w:pPr>
        <w:pStyle w:val="Standard"/>
        <w:rPr>
          <w:rFonts w:asciiTheme="majorHAnsi" w:hAnsiTheme="majorHAnsi"/>
        </w:rPr>
      </w:pPr>
      <w:r w:rsidRPr="000A0486">
        <w:rPr>
          <w:rFonts w:asciiTheme="majorHAnsi" w:hAnsiTheme="majorHAnsi"/>
        </w:rPr>
        <w:t>The GHRC has a mandate to investigate allegations of human rights abuses and make recommendations to the Police and Judiciary for further action. As the GHRC is chronically under-resourced and under-staffed, they are perceived by many to be ineffective and have had some trouble gaining the trust of civil society. This has not been helped by the fact that the Genesian Government consistently ignores their recommendations. They have been working with the Genesian Human Rights Network to try to improve this. The GHRC have received some training and financial support from OHCHR.</w:t>
      </w:r>
    </w:p>
    <w:p w14:paraId="466CD23C" w14:textId="77777777" w:rsidR="00C20608" w:rsidRPr="000A0486" w:rsidRDefault="00C20608" w:rsidP="00C20608">
      <w:pPr>
        <w:pStyle w:val="Standard"/>
        <w:rPr>
          <w:rFonts w:asciiTheme="majorHAnsi" w:hAnsiTheme="majorHAnsi"/>
          <w:i/>
        </w:rPr>
      </w:pPr>
      <w:r w:rsidRPr="000A0486">
        <w:rPr>
          <w:rFonts w:asciiTheme="majorHAnsi" w:hAnsiTheme="majorHAnsi"/>
          <w:i/>
        </w:rPr>
        <w:t>HR Commissioner</w:t>
      </w:r>
    </w:p>
    <w:p w14:paraId="57CA1F2A" w14:textId="77777777" w:rsidR="00C20608" w:rsidRPr="000A0486" w:rsidRDefault="00C20608" w:rsidP="00C20608">
      <w:pPr>
        <w:pStyle w:val="Standard"/>
        <w:rPr>
          <w:rFonts w:asciiTheme="majorHAnsi" w:hAnsiTheme="majorHAnsi"/>
        </w:rPr>
      </w:pPr>
      <w:r w:rsidRPr="000A0486">
        <w:rPr>
          <w:rFonts w:asciiTheme="majorHAnsi" w:hAnsiTheme="majorHAnsi"/>
        </w:rPr>
        <w:t>While the President appointed the HRC, she doesn’t have a long-standing relationship with Government and has only recently come into the role. She is an Abbanian and was previously a human rights academic who worked for many years at Columbia University Law School. Her appointment was seen by many as a compromise to the UN, who strongly advocated for it. She recently submitted a report to Parliament regarding corruption and weakness within the judiciary and the rates of detention of juveniles. In the report she recommended an independent panel be convened to review cases of any detained youth under the age of 15. She was also principally responsible for arguing in favour of the ICRC gaining access to detention facilities in Collinstown. She is hoping she can breathe some life into the GHRC and gain more credibility amongst Genesian civil society.</w:t>
      </w:r>
    </w:p>
    <w:p w14:paraId="001A6029" w14:textId="77777777" w:rsidR="00C20608" w:rsidRPr="000A0486" w:rsidRDefault="00C20608" w:rsidP="00C20608">
      <w:pPr>
        <w:pStyle w:val="Standard"/>
        <w:rPr>
          <w:rFonts w:asciiTheme="majorHAnsi" w:hAnsiTheme="majorHAnsi"/>
          <w:b/>
        </w:rPr>
      </w:pPr>
      <w:r w:rsidRPr="000A0486">
        <w:rPr>
          <w:rFonts w:asciiTheme="majorHAnsi" w:hAnsiTheme="majorHAnsi"/>
          <w:b/>
          <w:u w:val="single"/>
        </w:rPr>
        <w:t>Genesian Child Protection Commission</w:t>
      </w:r>
      <w:r w:rsidRPr="000A0486">
        <w:rPr>
          <w:rFonts w:asciiTheme="majorHAnsi" w:hAnsiTheme="majorHAnsi"/>
          <w:b/>
        </w:rPr>
        <w:t xml:space="preserve"> (GCPC)</w:t>
      </w:r>
    </w:p>
    <w:p w14:paraId="0EE7A677" w14:textId="77777777" w:rsidR="00C20608" w:rsidRPr="000A0486" w:rsidRDefault="00C20608" w:rsidP="00C20608">
      <w:pPr>
        <w:pStyle w:val="Standard"/>
        <w:rPr>
          <w:rFonts w:asciiTheme="majorHAnsi" w:hAnsiTheme="majorHAnsi"/>
        </w:rPr>
      </w:pPr>
      <w:r w:rsidRPr="000A0486">
        <w:rPr>
          <w:rFonts w:asciiTheme="majorHAnsi" w:hAnsiTheme="majorHAnsi"/>
        </w:rPr>
        <w:t>The GCPC, like the GHRC, was established under national law only a few years ago. However, it has a very limited mandate that does not include investigative powers or an ability to provide material support in an emergency. Its main role is to monitor and evaluate government programmes relating to children and to advocate for children rights issues to be considered in planning and implementation. It has limited resources, a small budget and is not well connected to child rights organisations at a sub-national level.</w:t>
      </w:r>
    </w:p>
    <w:p w14:paraId="67E9E517" w14:textId="77777777" w:rsidR="00C20608" w:rsidRPr="000A0486" w:rsidRDefault="00C20608" w:rsidP="00C20608">
      <w:pPr>
        <w:spacing w:before="240"/>
        <w:rPr>
          <w:rFonts w:asciiTheme="majorHAnsi" w:hAnsiTheme="majorHAnsi"/>
          <w:i/>
          <w:lang w:val="en-GB"/>
        </w:rPr>
      </w:pPr>
    </w:p>
    <w:p w14:paraId="1306A4F7" w14:textId="77777777" w:rsidR="00C20608" w:rsidRPr="000A0486" w:rsidRDefault="00C20608" w:rsidP="00C20608">
      <w:pPr>
        <w:spacing w:before="240"/>
        <w:rPr>
          <w:rFonts w:asciiTheme="majorHAnsi" w:hAnsiTheme="majorHAnsi"/>
          <w:i/>
          <w:lang w:val="en-GB"/>
        </w:rPr>
      </w:pPr>
    </w:p>
    <w:p w14:paraId="00F35C38" w14:textId="77777777" w:rsidR="00C20608" w:rsidRPr="000A0486" w:rsidRDefault="00C20608" w:rsidP="00C20608">
      <w:pPr>
        <w:spacing w:before="240"/>
        <w:rPr>
          <w:rFonts w:asciiTheme="majorHAnsi" w:hAnsiTheme="majorHAnsi"/>
          <w:i/>
          <w:lang w:val="en-GB"/>
        </w:rPr>
      </w:pPr>
      <w:r w:rsidRPr="000A0486">
        <w:rPr>
          <w:rFonts w:asciiTheme="majorHAnsi" w:hAnsiTheme="majorHAnsi"/>
          <w:i/>
          <w:lang w:val="en-GB"/>
        </w:rPr>
        <w:t>CP Commissioner</w:t>
      </w:r>
    </w:p>
    <w:p w14:paraId="13258492" w14:textId="77777777" w:rsidR="00C20608" w:rsidRPr="000A0486" w:rsidRDefault="00C20608" w:rsidP="00C20608">
      <w:pPr>
        <w:rPr>
          <w:rFonts w:asciiTheme="majorHAnsi" w:hAnsiTheme="majorHAnsi"/>
          <w:lang w:val="en-GB"/>
        </w:rPr>
      </w:pPr>
      <w:r w:rsidRPr="000A0486">
        <w:rPr>
          <w:rFonts w:asciiTheme="majorHAnsi" w:hAnsiTheme="majorHAnsi"/>
          <w:lang w:val="en-GB"/>
        </w:rPr>
        <w:t>The CPC was appointed in this role when the Commission was originally established and so far has not been as strong an advocate on child protection needs. She has not been able to establish strong working relationships with civil society and many see the Commission as redundant. She is, however, the cousin of the President and her familial relationship means that she has more access than most to decision-makers in the Genesian Government.</w:t>
      </w:r>
    </w:p>
    <w:p w14:paraId="215B9FAC" w14:textId="77777777" w:rsidR="00C20608" w:rsidRPr="000A0486" w:rsidRDefault="00C20608" w:rsidP="00C20608">
      <w:pPr>
        <w:pStyle w:val="Standard"/>
        <w:rPr>
          <w:rFonts w:asciiTheme="majorHAnsi" w:hAnsiTheme="majorHAnsi"/>
          <w:b/>
          <w:u w:val="single"/>
        </w:rPr>
      </w:pPr>
      <w:r w:rsidRPr="000A0486">
        <w:rPr>
          <w:rFonts w:asciiTheme="majorHAnsi" w:hAnsiTheme="majorHAnsi"/>
          <w:b/>
          <w:u w:val="single"/>
        </w:rPr>
        <w:t>Genesian Ombudsman</w:t>
      </w:r>
    </w:p>
    <w:p w14:paraId="5309452A"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The Genesian Ombudsman has a legal mandate to investigate all complaints related to government services and governance. However, they do not have strong networks with civil society and are not typically known outside of the capital. </w:t>
      </w:r>
    </w:p>
    <w:p w14:paraId="25AF3CE1" w14:textId="77777777" w:rsidR="00C20608" w:rsidRPr="000A0486" w:rsidRDefault="00C20608" w:rsidP="00C20608">
      <w:pPr>
        <w:rPr>
          <w:rFonts w:asciiTheme="majorHAnsi" w:hAnsiTheme="majorHAnsi" w:cstheme="minorHAnsi"/>
          <w:b/>
          <w:lang w:val="en-GB"/>
        </w:rPr>
      </w:pPr>
      <w:r w:rsidRPr="000A0486">
        <w:rPr>
          <w:rFonts w:asciiTheme="majorHAnsi" w:eastAsia="Arial Unicode MS" w:hAnsiTheme="majorHAnsi" w:cs="Calibri"/>
          <w:kern w:val="3"/>
          <w:lang w:val="en-GB"/>
        </w:rPr>
        <w:br/>
      </w:r>
      <w:r w:rsidRPr="000A0486">
        <w:rPr>
          <w:rFonts w:asciiTheme="majorHAnsi" w:hAnsiTheme="majorHAnsi" w:cstheme="minorHAnsi"/>
          <w:b/>
          <w:lang w:val="en-GB"/>
        </w:rPr>
        <w:t>MAY ALSO WISH TO REFER TO OTHER INGOS WORKING IN THIS AREA – SEE BELOW IN SOCIAL WELFARE NOTES (EG, NRC, DRC)</w:t>
      </w:r>
      <w:r w:rsidRPr="000A0486">
        <w:rPr>
          <w:rFonts w:asciiTheme="majorHAnsi" w:hAnsiTheme="majorHAnsi" w:cstheme="minorHAnsi"/>
          <w:b/>
          <w:lang w:val="en-GB"/>
        </w:rPr>
        <w:br/>
      </w:r>
    </w:p>
    <w:p w14:paraId="4EBF5303" w14:textId="77777777" w:rsidR="00C20608" w:rsidRPr="000A0486" w:rsidRDefault="00C20608" w:rsidP="00C20608">
      <w:pPr>
        <w:pStyle w:val="ListParagraph"/>
        <w:numPr>
          <w:ilvl w:val="0"/>
          <w:numId w:val="2"/>
        </w:numPr>
        <w:ind w:left="360"/>
        <w:contextualSpacing/>
        <w:jc w:val="left"/>
        <w:rPr>
          <w:rFonts w:asciiTheme="majorHAnsi" w:hAnsiTheme="majorHAnsi" w:cstheme="minorHAnsi"/>
          <w:sz w:val="22"/>
          <w:szCs w:val="22"/>
          <w:u w:val="single"/>
          <w:lang w:val="en-GB"/>
        </w:rPr>
      </w:pPr>
      <w:r w:rsidRPr="000A0486">
        <w:rPr>
          <w:rFonts w:asciiTheme="majorHAnsi" w:hAnsiTheme="majorHAnsi" w:cstheme="minorHAnsi"/>
          <w:sz w:val="22"/>
          <w:szCs w:val="22"/>
          <w:u w:val="single"/>
          <w:lang w:val="en-GB"/>
        </w:rPr>
        <w:br w:type="page"/>
      </w:r>
    </w:p>
    <w:p w14:paraId="1CE07AAD" w14:textId="77777777" w:rsidR="00C20608" w:rsidRPr="000A0486" w:rsidRDefault="00C20608" w:rsidP="00C20608">
      <w:pPr>
        <w:pStyle w:val="ListParagraph"/>
        <w:numPr>
          <w:ilvl w:val="0"/>
          <w:numId w:val="3"/>
        </w:numPr>
        <w:contextualSpacing/>
        <w:rPr>
          <w:rFonts w:asciiTheme="majorHAnsi" w:hAnsiTheme="majorHAnsi" w:cstheme="minorHAnsi"/>
          <w:sz w:val="22"/>
          <w:szCs w:val="22"/>
          <w:u w:val="single"/>
          <w:lang w:val="en-GB"/>
        </w:rPr>
      </w:pPr>
      <w:r w:rsidRPr="000A0486">
        <w:rPr>
          <w:rFonts w:asciiTheme="majorHAnsi" w:hAnsiTheme="majorHAnsi" w:cstheme="minorHAnsi"/>
          <w:sz w:val="22"/>
          <w:szCs w:val="22"/>
          <w:u w:val="single"/>
          <w:lang w:val="en-GB"/>
        </w:rPr>
        <w:t xml:space="preserve">Social Welfare: DG MoSW </w:t>
      </w:r>
    </w:p>
    <w:p w14:paraId="6ACEF77E" w14:textId="77777777" w:rsidR="00C20608" w:rsidRPr="000A0486" w:rsidRDefault="00C20608" w:rsidP="00C20608">
      <w:pPr>
        <w:spacing w:before="240"/>
        <w:rPr>
          <w:rFonts w:asciiTheme="majorHAnsi" w:hAnsiTheme="majorHAnsi" w:cstheme="minorHAnsi"/>
          <w:b/>
          <w:u w:val="single"/>
          <w:lang w:val="en-GB"/>
        </w:rPr>
      </w:pPr>
      <w:r w:rsidRPr="000A0486">
        <w:rPr>
          <w:rFonts w:asciiTheme="majorHAnsi" w:hAnsiTheme="majorHAnsi"/>
          <w:b/>
          <w:u w:val="single"/>
          <w:lang w:val="en-GB"/>
        </w:rPr>
        <w:t>MoSW (</w:t>
      </w:r>
      <w:r w:rsidRPr="000A0486">
        <w:rPr>
          <w:rFonts w:asciiTheme="majorHAnsi" w:hAnsiTheme="majorHAnsi" w:cstheme="minorHAnsi"/>
          <w:b/>
          <w:u w:val="single"/>
          <w:lang w:val="en-GB"/>
        </w:rPr>
        <w:t>From “Key Players” &amp; “Key Actors”):</w:t>
      </w:r>
    </w:p>
    <w:p w14:paraId="20F982E7"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The Ministry of Social Welfare is responsible for policies related to social welfare and social services. It also contains the Department of Humanitarian Affairs, which is the governmental body with the authority to work with the humanitarian community and respond to disasters and coordinate all relief operations, and is represented in each region by a Humanitarian Affairs Coordinator. However, in reality it is ill equipped to carry out this function, and generally allows international organisations to take the lead. </w:t>
      </w:r>
    </w:p>
    <w:p w14:paraId="1F1FA193"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The MoSW has regional departments in all regions but the Central Mountains District and Abbania. It has some social workers in the capital but a limited presence outside Collinstown. There are currently no social workers in Abbania and the Central Mountains District. </w:t>
      </w:r>
    </w:p>
    <w:p w14:paraId="1B864D16"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In general, there is a lack of both funding and appropriately trained personnel. Some regional departments rely on community members who are given basic training to become community workers. </w:t>
      </w:r>
    </w:p>
    <w:p w14:paraId="0A47FFD1" w14:textId="77777777" w:rsidR="00C20608" w:rsidRPr="000A0486" w:rsidRDefault="00C20608" w:rsidP="00C20608">
      <w:pPr>
        <w:pStyle w:val="Standard"/>
        <w:spacing w:after="240"/>
        <w:rPr>
          <w:rFonts w:asciiTheme="majorHAnsi" w:hAnsiTheme="majorHAnsi"/>
          <w:i/>
        </w:rPr>
      </w:pPr>
      <w:r w:rsidRPr="000A0486">
        <w:rPr>
          <w:rFonts w:asciiTheme="majorHAnsi" w:hAnsiTheme="majorHAnsi"/>
          <w:i/>
        </w:rPr>
        <w:t>Minister of Social Welfare</w:t>
      </w:r>
    </w:p>
    <w:p w14:paraId="072D9898" w14:textId="77777777" w:rsidR="00C20608" w:rsidRPr="000A0486" w:rsidRDefault="00C20608" w:rsidP="00C20608">
      <w:pPr>
        <w:pStyle w:val="Standard"/>
        <w:rPr>
          <w:rFonts w:asciiTheme="majorHAnsi" w:hAnsiTheme="majorHAnsi"/>
        </w:rPr>
      </w:pPr>
      <w:r w:rsidRPr="000A0486">
        <w:rPr>
          <w:rFonts w:asciiTheme="majorHAnsi" w:hAnsiTheme="majorHAnsi"/>
        </w:rPr>
        <w:t>The Minister for Social Welfare has a genuine commitment to supporting the most vulnerable members of society in Genesis and the need for a stronger social welfare system. However, he is limited by a lack of resources. Those working in the Ministry respect him.</w:t>
      </w:r>
    </w:p>
    <w:p w14:paraId="7B43C460" w14:textId="77777777" w:rsidR="00C20608" w:rsidRPr="000A0486" w:rsidRDefault="00C20608" w:rsidP="00C20608">
      <w:pPr>
        <w:pStyle w:val="Standard"/>
        <w:rPr>
          <w:rFonts w:asciiTheme="majorHAnsi" w:hAnsiTheme="majorHAnsi"/>
          <w:i/>
          <w:iCs/>
        </w:rPr>
      </w:pPr>
      <w:r w:rsidRPr="000A0486">
        <w:rPr>
          <w:rFonts w:asciiTheme="majorHAnsi" w:hAnsiTheme="majorHAnsi"/>
          <w:i/>
          <w:iCs/>
        </w:rPr>
        <w:t>Director General</w:t>
      </w:r>
    </w:p>
    <w:p w14:paraId="71D189D0" w14:textId="77777777" w:rsidR="00C20608" w:rsidRPr="000A0486" w:rsidRDefault="00C20608" w:rsidP="00C20608">
      <w:pPr>
        <w:pStyle w:val="Standard"/>
        <w:rPr>
          <w:rFonts w:asciiTheme="majorHAnsi" w:hAnsiTheme="majorHAnsi"/>
          <w:iCs/>
        </w:rPr>
      </w:pPr>
      <w:r w:rsidRPr="000A0486">
        <w:rPr>
          <w:rFonts w:asciiTheme="majorHAnsi" w:hAnsiTheme="majorHAnsi"/>
          <w:iCs/>
        </w:rPr>
        <w:t xml:space="preserve">The Director General for the Ministry of Social Welfare has worked as a government bureaucrat for over thirty years and has a reputation for being very tough and a difficult personality. He has a close personal relationship with the President. He has a good understanding of the needs within the social welfare sector but is careful of the things he chooses to advocate for in order not to damage his ties with the President. </w:t>
      </w:r>
    </w:p>
    <w:p w14:paraId="0EA0E2FB" w14:textId="77777777" w:rsidR="00C20608" w:rsidRPr="000A0486" w:rsidRDefault="00C20608" w:rsidP="00C20608">
      <w:pPr>
        <w:pStyle w:val="Standard"/>
        <w:rPr>
          <w:rFonts w:asciiTheme="majorHAnsi" w:hAnsiTheme="majorHAnsi"/>
          <w:i/>
        </w:rPr>
      </w:pPr>
      <w:r w:rsidRPr="000A0486">
        <w:rPr>
          <w:rFonts w:asciiTheme="majorHAnsi" w:hAnsiTheme="majorHAnsi"/>
          <w:i/>
        </w:rPr>
        <w:t xml:space="preserve">Humanitarian Affairs Coordinator </w:t>
      </w:r>
    </w:p>
    <w:p w14:paraId="4D3078BF"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The Humanitarian Affairs Coordinator has a strong relationship with the President, he is married to the President’s younger sister. He has been known to be difficult to manage by humanitarian organisations who frequently use the Minister of Social Welfare to advocate on their behalf. </w:t>
      </w:r>
    </w:p>
    <w:p w14:paraId="57950EC1" w14:textId="77777777" w:rsidR="00C20608" w:rsidRPr="000A0486" w:rsidRDefault="00C20608" w:rsidP="00C20608">
      <w:pPr>
        <w:pStyle w:val="Standard"/>
        <w:spacing w:after="240"/>
        <w:rPr>
          <w:rFonts w:asciiTheme="majorHAnsi" w:hAnsiTheme="majorHAnsi"/>
          <w:b/>
          <w:u w:val="single"/>
        </w:rPr>
      </w:pPr>
      <w:r w:rsidRPr="000A0486">
        <w:rPr>
          <w:rFonts w:asciiTheme="majorHAnsi" w:hAnsiTheme="majorHAnsi"/>
          <w:b/>
          <w:u w:val="single"/>
        </w:rPr>
        <w:t xml:space="preserve">Info from </w:t>
      </w:r>
      <w:r>
        <w:rPr>
          <w:rFonts w:asciiTheme="majorHAnsi" w:hAnsiTheme="majorHAnsi"/>
          <w:b/>
          <w:u w:val="single"/>
        </w:rPr>
        <w:t>“Desk Review” (CPRA</w:t>
      </w:r>
      <w:r w:rsidRPr="000A0486">
        <w:rPr>
          <w:rFonts w:asciiTheme="majorHAnsi" w:hAnsiTheme="majorHAnsi"/>
          <w:b/>
          <w:u w:val="single"/>
        </w:rPr>
        <w:t xml:space="preserve"> Session)</w:t>
      </w:r>
    </w:p>
    <w:p w14:paraId="0C63D403" w14:textId="77777777" w:rsidR="00C20608" w:rsidRPr="00E96813" w:rsidRDefault="00C20608" w:rsidP="00C20608">
      <w:pPr>
        <w:rPr>
          <w:rFonts w:asciiTheme="majorHAnsi" w:hAnsiTheme="majorHAnsi"/>
          <w:bCs/>
          <w:strike/>
          <w:lang w:val="en-GB"/>
        </w:rPr>
      </w:pPr>
      <w:r w:rsidRPr="000A0486">
        <w:rPr>
          <w:rFonts w:asciiTheme="majorHAnsi" w:hAnsiTheme="majorHAnsi"/>
          <w:bCs/>
          <w:i/>
          <w:lang w:val="en-GB"/>
        </w:rPr>
        <w:t xml:space="preserve">Ministry of Social Welfare </w:t>
      </w:r>
      <w:r w:rsidRPr="000A0486">
        <w:rPr>
          <w:rFonts w:asciiTheme="majorHAnsi" w:hAnsiTheme="majorHAnsi"/>
          <w:bCs/>
          <w:lang w:val="en-GB"/>
        </w:rPr>
        <w:t>is amongst the most under-resourced and under-staffed Ministries and has minimal reach outside of Collinstown.  Their activities include a focus on the care for orphans and vulnerable children through residential care facilities, a street children programme in Collinstown, and work with women’s groups and community networks</w:t>
      </w:r>
      <w:r w:rsidRPr="000A0486">
        <w:rPr>
          <w:rStyle w:val="FootnoteReference"/>
          <w:rFonts w:asciiTheme="majorHAnsi" w:eastAsiaTheme="majorEastAsia" w:hAnsiTheme="majorHAnsi"/>
          <w:lang w:val="en-GB"/>
        </w:rPr>
        <w:footnoteReference w:id="1"/>
      </w:r>
      <w:r w:rsidRPr="000A0486">
        <w:rPr>
          <w:rFonts w:asciiTheme="majorHAnsi" w:hAnsiTheme="majorHAnsi"/>
          <w:bCs/>
          <w:lang w:val="en-GB"/>
        </w:rPr>
        <w:t>. In addition, the Ministry has limited social work capacity or mechanisms for case management and referral. There is also little coordination with other Ministries.</w:t>
      </w:r>
      <w:r w:rsidRPr="000A0486">
        <w:rPr>
          <w:rFonts w:asciiTheme="majorHAnsi" w:hAnsiTheme="majorHAnsi"/>
          <w:bCs/>
          <w:strike/>
          <w:lang w:val="en-GB"/>
        </w:rPr>
        <w:br/>
      </w:r>
      <w:r w:rsidRPr="000A0486">
        <w:rPr>
          <w:rFonts w:asciiTheme="majorHAnsi" w:hAnsiTheme="majorHAnsi"/>
          <w:bCs/>
          <w:lang w:val="en-GB"/>
        </w:rPr>
        <w:br/>
        <w:t>MoSW’s street children programme involve some limited vocational training and ‘information sessions’ where social workers typically lecture children on the dangers of living on the streets. In camps, the MoSW has been keen to distribute NFIs to displaced families and has strongly been advocating that humanitarian organisations increase their funding to Mo</w:t>
      </w:r>
      <w:bookmarkStart w:id="0" w:name="_GoBack"/>
      <w:bookmarkEnd w:id="0"/>
      <w:r w:rsidRPr="000A0486">
        <w:rPr>
          <w:rFonts w:asciiTheme="majorHAnsi" w:hAnsiTheme="majorHAnsi"/>
          <w:bCs/>
          <w:lang w:val="en-GB"/>
        </w:rPr>
        <w:t xml:space="preserve">SW to build child-friendly spaces. </w:t>
      </w:r>
    </w:p>
    <w:p w14:paraId="6CC93F05" w14:textId="77777777" w:rsidR="00C20608" w:rsidRDefault="00C20608" w:rsidP="00C20608">
      <w:pPr>
        <w:ind w:left="360" w:hanging="360"/>
        <w:contextualSpacing/>
        <w:rPr>
          <w:rFonts w:asciiTheme="majorHAnsi" w:hAnsiTheme="majorHAnsi" w:cstheme="minorHAnsi"/>
          <w:lang w:val="en-GB"/>
        </w:rPr>
      </w:pPr>
      <w:r>
        <w:rPr>
          <w:rFonts w:asciiTheme="majorHAnsi" w:hAnsiTheme="majorHAnsi" w:cstheme="minorHAnsi"/>
          <w:lang w:val="en-GB"/>
        </w:rPr>
        <w:br w:type="page"/>
      </w:r>
    </w:p>
    <w:p w14:paraId="7F838B0A" w14:textId="77777777" w:rsidR="00C20608" w:rsidRPr="000A0486" w:rsidRDefault="00C20608" w:rsidP="00C20608">
      <w:pPr>
        <w:ind w:left="360" w:hanging="360"/>
        <w:contextualSpacing/>
        <w:rPr>
          <w:rFonts w:asciiTheme="majorHAnsi" w:hAnsiTheme="majorHAnsi" w:cstheme="minorHAnsi"/>
          <w:u w:val="single"/>
          <w:lang w:val="en-GB"/>
        </w:rPr>
      </w:pPr>
      <w:r w:rsidRPr="000A0486">
        <w:rPr>
          <w:rFonts w:asciiTheme="majorHAnsi" w:hAnsiTheme="majorHAnsi" w:cstheme="minorHAnsi"/>
          <w:lang w:val="en-GB"/>
        </w:rPr>
        <w:t xml:space="preserve">3. </w:t>
      </w:r>
      <w:r w:rsidRPr="000A0486">
        <w:rPr>
          <w:rFonts w:asciiTheme="majorHAnsi" w:hAnsiTheme="majorHAnsi" w:cstheme="minorHAnsi"/>
          <w:u w:val="single"/>
          <w:lang w:val="en-GB"/>
        </w:rPr>
        <w:t xml:space="preserve"> Civil Society: Genesian Children’s Alliance</w:t>
      </w:r>
      <w:r w:rsidRPr="000A0486">
        <w:rPr>
          <w:rFonts w:asciiTheme="majorHAnsi" w:hAnsiTheme="majorHAnsi" w:cstheme="minorHAnsi"/>
          <w:u w:val="single"/>
          <w:lang w:val="en-GB"/>
        </w:rPr>
        <w:br/>
      </w:r>
    </w:p>
    <w:p w14:paraId="7479F1F2" w14:textId="77777777" w:rsidR="00C20608" w:rsidRPr="000A0486" w:rsidRDefault="00C20608" w:rsidP="00C20608">
      <w:pPr>
        <w:spacing w:before="240"/>
        <w:rPr>
          <w:rFonts w:asciiTheme="majorHAnsi" w:hAnsiTheme="majorHAnsi" w:cstheme="minorHAnsi"/>
          <w:b/>
          <w:u w:val="single"/>
          <w:lang w:val="en-GB"/>
        </w:rPr>
      </w:pPr>
      <w:r w:rsidRPr="000A0486">
        <w:rPr>
          <w:rFonts w:asciiTheme="majorHAnsi" w:hAnsiTheme="majorHAnsi"/>
          <w:b/>
          <w:u w:val="single"/>
          <w:lang w:val="en-GB"/>
        </w:rPr>
        <w:t>Genesian Children’s Alliance (</w:t>
      </w:r>
      <w:r w:rsidRPr="000A0486">
        <w:rPr>
          <w:rFonts w:asciiTheme="majorHAnsi" w:hAnsiTheme="majorHAnsi" w:cstheme="minorHAnsi"/>
          <w:b/>
          <w:u w:val="single"/>
          <w:lang w:val="en-GB"/>
        </w:rPr>
        <w:t>From “Key Players”):</w:t>
      </w:r>
    </w:p>
    <w:p w14:paraId="0543BFBD" w14:textId="77777777" w:rsidR="00C20608" w:rsidRPr="000A0486" w:rsidRDefault="00C20608" w:rsidP="00C20608">
      <w:pPr>
        <w:spacing w:before="240"/>
        <w:rPr>
          <w:rFonts w:asciiTheme="majorHAnsi" w:hAnsiTheme="majorHAnsi"/>
          <w:lang w:val="en-GB"/>
        </w:rPr>
      </w:pPr>
      <w:r w:rsidRPr="000A0486">
        <w:rPr>
          <w:rFonts w:asciiTheme="majorHAnsi" w:hAnsiTheme="majorHAnsi"/>
          <w:lang w:val="en-GB"/>
        </w:rPr>
        <w:t>The Children’s Alliance is a mixture of an advocacy organisation, communicating with the government on children’s rights issues, and a humanitarian response network, with branches in each region of Genesis. They work with a range of community-based organisations throughout Genesis to provide some limited form of assistance to children. They are focussing strongly on working with the Genesian Red Cross and INGOs and UN agencies in supporting the humanitarian response in Abbania Region where the majority of the displaced population are currently residing. It is generally highly respected by both Denverites and Abbanians and has a strong role in advocating with government and political representatives at the local level.</w:t>
      </w:r>
    </w:p>
    <w:p w14:paraId="131F5BA7" w14:textId="77777777" w:rsidR="00C20608" w:rsidRPr="000A0486" w:rsidRDefault="00C20608" w:rsidP="00C20608">
      <w:pPr>
        <w:pStyle w:val="Standard"/>
        <w:rPr>
          <w:rFonts w:asciiTheme="majorHAnsi" w:hAnsiTheme="majorHAnsi"/>
          <w:u w:val="single"/>
        </w:rPr>
      </w:pPr>
      <w:r w:rsidRPr="000A0486">
        <w:rPr>
          <w:rFonts w:asciiTheme="majorHAnsi" w:hAnsiTheme="majorHAnsi"/>
          <w:b/>
          <w:u w:val="single"/>
        </w:rPr>
        <w:t>Girl Child Education</w:t>
      </w:r>
      <w:r w:rsidRPr="000A0486">
        <w:rPr>
          <w:rFonts w:asciiTheme="majorHAnsi" w:hAnsiTheme="majorHAnsi"/>
          <w:u w:val="single"/>
        </w:rPr>
        <w:t xml:space="preserve"> </w:t>
      </w:r>
      <w:r w:rsidRPr="000A0486">
        <w:rPr>
          <w:rFonts w:asciiTheme="majorHAnsi" w:hAnsiTheme="majorHAnsi"/>
          <w:b/>
          <w:u w:val="single"/>
        </w:rPr>
        <w:t>(</w:t>
      </w:r>
      <w:r w:rsidRPr="000A0486">
        <w:rPr>
          <w:rFonts w:asciiTheme="majorHAnsi" w:hAnsiTheme="majorHAnsi" w:cstheme="minorHAnsi"/>
          <w:b/>
          <w:u w:val="single"/>
        </w:rPr>
        <w:t>From “Key Players”):</w:t>
      </w:r>
    </w:p>
    <w:p w14:paraId="350BCCAB" w14:textId="77777777" w:rsidR="00C20608" w:rsidRPr="000A0486" w:rsidRDefault="00C20608" w:rsidP="00C20608">
      <w:pPr>
        <w:pStyle w:val="Standard"/>
        <w:rPr>
          <w:rFonts w:asciiTheme="majorHAnsi" w:hAnsiTheme="majorHAnsi"/>
          <w:u w:val="single"/>
        </w:rPr>
      </w:pPr>
      <w:r w:rsidRPr="000A0486">
        <w:rPr>
          <w:rFonts w:asciiTheme="majorHAnsi" w:hAnsiTheme="majorHAnsi"/>
        </w:rPr>
        <w:t>A local NGO based in Collinstown. It is very active in its “All Girls have the Right to an Education” campaign that it launched last year. Dropout rates for girls are high across the country, as families tend to prioritise young girls for market activities to support their families or working as household servants. Their programmes have a particular focus on displaced girls having adequate access to schooling.</w:t>
      </w:r>
    </w:p>
    <w:p w14:paraId="20B77C0A" w14:textId="77777777" w:rsidR="00C20608" w:rsidRPr="000A0486" w:rsidRDefault="00C20608" w:rsidP="00C20608">
      <w:pPr>
        <w:pStyle w:val="Standard"/>
        <w:rPr>
          <w:rFonts w:asciiTheme="majorHAnsi" w:hAnsiTheme="majorHAnsi"/>
          <w:b/>
          <w:u w:val="single"/>
        </w:rPr>
      </w:pPr>
      <w:r w:rsidRPr="000A0486">
        <w:rPr>
          <w:rFonts w:asciiTheme="majorHAnsi" w:hAnsiTheme="majorHAnsi"/>
          <w:b/>
          <w:u w:val="single"/>
        </w:rPr>
        <w:t>United Parents and Carers (</w:t>
      </w:r>
      <w:r w:rsidRPr="000A0486">
        <w:rPr>
          <w:rFonts w:asciiTheme="majorHAnsi" w:hAnsiTheme="majorHAnsi" w:cstheme="minorHAnsi"/>
          <w:b/>
          <w:u w:val="single"/>
        </w:rPr>
        <w:t>From “Key Players”):</w:t>
      </w:r>
    </w:p>
    <w:p w14:paraId="3A1E3CC9" w14:textId="77777777" w:rsidR="00C20608" w:rsidRPr="000A0486" w:rsidRDefault="00C20608" w:rsidP="00C20608">
      <w:pPr>
        <w:pStyle w:val="Standard"/>
        <w:rPr>
          <w:rFonts w:asciiTheme="majorHAnsi" w:hAnsiTheme="majorHAnsi"/>
        </w:rPr>
      </w:pPr>
      <w:r w:rsidRPr="000A0486">
        <w:rPr>
          <w:rFonts w:asciiTheme="majorHAnsi" w:hAnsiTheme="majorHAnsi"/>
        </w:rPr>
        <w:t>This is a national NGO with small offices throughout Genesis. As a multi-ethnic/religious organisation they have strong ties with civil society across the political and religious spectrum and are generally seen as unbiased and trusted by most. They serve as a useful partner between civil society and government at the national level owing to the respect they have from most parties and religious/ethnic groups. This means that they will often be more cautious than more vocal advocacy organisations in order to maintain those relationships. Their overall mandate is to provide support to parents and carers in a variety of ways, through referrals and providing linkages with social welfare services, with social/community workers of their own and through a variety of livelihoods programmes and vocational training. They also have very strong parents groups networks where they provide peer-to-peer parenting classes.</w:t>
      </w:r>
    </w:p>
    <w:p w14:paraId="350ECADB" w14:textId="77777777" w:rsidR="00C20608" w:rsidRPr="000A0486" w:rsidRDefault="00C20608" w:rsidP="00C20608">
      <w:pPr>
        <w:pStyle w:val="Standard"/>
        <w:rPr>
          <w:rFonts w:asciiTheme="majorHAnsi" w:hAnsiTheme="majorHAnsi"/>
        </w:rPr>
      </w:pPr>
      <w:r w:rsidRPr="000A0486">
        <w:rPr>
          <w:rFonts w:asciiTheme="majorHAnsi" w:hAnsiTheme="majorHAnsi"/>
          <w:b/>
          <w:u w:val="single"/>
        </w:rPr>
        <w:t>Genesian Women’s Movement for Humanitarian Action</w:t>
      </w:r>
      <w:r w:rsidRPr="000A0486">
        <w:rPr>
          <w:rFonts w:asciiTheme="majorHAnsi" w:hAnsiTheme="majorHAnsi"/>
          <w:u w:val="single"/>
        </w:rPr>
        <w:t xml:space="preserve"> </w:t>
      </w:r>
      <w:r w:rsidRPr="000A0486">
        <w:rPr>
          <w:rFonts w:asciiTheme="majorHAnsi" w:hAnsiTheme="majorHAnsi"/>
          <w:b/>
          <w:u w:val="single"/>
        </w:rPr>
        <w:t>(</w:t>
      </w:r>
      <w:r w:rsidRPr="000A0486">
        <w:rPr>
          <w:rFonts w:asciiTheme="majorHAnsi" w:hAnsiTheme="majorHAnsi" w:cstheme="minorHAnsi"/>
          <w:b/>
          <w:u w:val="single"/>
        </w:rPr>
        <w:t>From “Key Players”):</w:t>
      </w:r>
    </w:p>
    <w:p w14:paraId="1388F340"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The GWMHA is a network of women with political connections in Genesis who have created an NGO specifically targeted towards women’s empowerment programmes and child-related activities as well as general charitable works. They give assistance with food and non-food items. They have strong political affiliations and tend not to coordinate with others. They regularly build orphanages throughout the country, and are highly supportive of adoption for children orphaned or separated as a result of conflict. </w:t>
      </w:r>
    </w:p>
    <w:p w14:paraId="07E8A0DD" w14:textId="77777777" w:rsidR="00C20608" w:rsidRPr="000A0486" w:rsidRDefault="00C20608" w:rsidP="00C20608">
      <w:pPr>
        <w:pStyle w:val="Standard"/>
        <w:rPr>
          <w:rFonts w:asciiTheme="majorHAnsi" w:hAnsiTheme="majorHAnsi"/>
          <w:b/>
        </w:rPr>
      </w:pPr>
      <w:r w:rsidRPr="000A0486">
        <w:rPr>
          <w:rFonts w:asciiTheme="majorHAnsi" w:hAnsiTheme="majorHAnsi"/>
          <w:b/>
          <w:u w:val="single"/>
        </w:rPr>
        <w:t>Women for Safety (</w:t>
      </w:r>
      <w:r w:rsidRPr="000A0486">
        <w:rPr>
          <w:rFonts w:asciiTheme="majorHAnsi" w:hAnsiTheme="majorHAnsi" w:cstheme="minorHAnsi"/>
          <w:b/>
          <w:u w:val="single"/>
        </w:rPr>
        <w:t>From “Key Players”):</w:t>
      </w:r>
    </w:p>
    <w:p w14:paraId="0270041F" w14:textId="77777777" w:rsidR="00C20608" w:rsidRPr="000A0486" w:rsidRDefault="00C20608" w:rsidP="00C20608">
      <w:pPr>
        <w:rPr>
          <w:rFonts w:asciiTheme="majorHAnsi" w:hAnsiTheme="majorHAnsi"/>
          <w:lang w:val="en-GB"/>
        </w:rPr>
      </w:pPr>
      <w:r w:rsidRPr="000A0486">
        <w:rPr>
          <w:rFonts w:asciiTheme="majorHAnsi" w:hAnsiTheme="majorHAnsi"/>
          <w:lang w:val="en-GB"/>
        </w:rPr>
        <w:t xml:space="preserve">A small local NGO with headquarters in Jelton City. This organisation promotes women and girls rights. It focuses particularly on issues relating to Early Marriage and Domestic Violence. It works closely with community women groups to provide support, access to social services, psychosocial support and is a strong voice for women’s rights. </w:t>
      </w:r>
    </w:p>
    <w:p w14:paraId="1E5AD7D4" w14:textId="77777777" w:rsidR="00C20608" w:rsidRPr="000A0486" w:rsidRDefault="00C20608" w:rsidP="00C20608">
      <w:pPr>
        <w:rPr>
          <w:rFonts w:asciiTheme="majorHAnsi" w:hAnsiTheme="majorHAnsi"/>
          <w:b/>
          <w:u w:val="single"/>
          <w:lang w:val="en-GB"/>
        </w:rPr>
      </w:pPr>
      <w:r w:rsidRPr="000A0486">
        <w:rPr>
          <w:rFonts w:asciiTheme="majorHAnsi" w:hAnsiTheme="majorHAnsi"/>
          <w:b/>
          <w:u w:val="single"/>
          <w:lang w:val="en-GB"/>
        </w:rPr>
        <w:t>Schools for All (</w:t>
      </w:r>
      <w:r w:rsidRPr="000A0486">
        <w:rPr>
          <w:rFonts w:asciiTheme="majorHAnsi" w:hAnsiTheme="majorHAnsi" w:cstheme="minorHAnsi"/>
          <w:b/>
          <w:u w:val="single"/>
          <w:lang w:val="en-GB"/>
        </w:rPr>
        <w:t>From “Key Players”):</w:t>
      </w:r>
    </w:p>
    <w:p w14:paraId="1E16AD32" w14:textId="77777777" w:rsidR="00C20608" w:rsidRPr="000A0486" w:rsidRDefault="00C20608" w:rsidP="00C20608">
      <w:pPr>
        <w:rPr>
          <w:rFonts w:asciiTheme="majorHAnsi" w:hAnsiTheme="majorHAnsi"/>
          <w:lang w:val="en-GB"/>
        </w:rPr>
      </w:pPr>
      <w:r w:rsidRPr="000A0486">
        <w:rPr>
          <w:rFonts w:asciiTheme="majorHAnsi" w:hAnsiTheme="majorHAnsi"/>
          <w:lang w:val="en-GB"/>
        </w:rPr>
        <w:t>Schools for All is a small Genesian NGO which aims to recruit and train teachers in local areas and to distribute resources for schools. They have been working in Abbania for some time to set up temporary schools in the West of the area.</w:t>
      </w:r>
    </w:p>
    <w:p w14:paraId="66FF2516" w14:textId="77777777" w:rsidR="00C20608" w:rsidRPr="000A0486" w:rsidRDefault="00C20608" w:rsidP="00C20608">
      <w:pPr>
        <w:rPr>
          <w:rFonts w:asciiTheme="majorHAnsi" w:hAnsiTheme="majorHAnsi" w:cstheme="minorHAnsi"/>
          <w:b/>
          <w:lang w:val="en-GB"/>
        </w:rPr>
      </w:pPr>
      <w:r w:rsidRPr="000A0486">
        <w:rPr>
          <w:rFonts w:asciiTheme="majorHAnsi" w:hAnsiTheme="majorHAnsi" w:cstheme="minorHAnsi"/>
          <w:b/>
          <w:lang w:val="en-GB"/>
        </w:rPr>
        <w:t>MAY ALSO REFER TO OTHER INGOS WORKING IN THIS AREA – SEE ABOVE IN SOCIAL WELFARE NOTES (E</w:t>
      </w:r>
      <w:r>
        <w:rPr>
          <w:rFonts w:asciiTheme="majorHAnsi" w:hAnsiTheme="majorHAnsi" w:cstheme="minorHAnsi"/>
          <w:b/>
          <w:lang w:val="en-GB"/>
        </w:rPr>
        <w:t>.</w:t>
      </w:r>
      <w:r w:rsidRPr="000A0486">
        <w:rPr>
          <w:rFonts w:asciiTheme="majorHAnsi" w:hAnsiTheme="majorHAnsi" w:cstheme="minorHAnsi"/>
          <w:b/>
          <w:lang w:val="en-GB"/>
        </w:rPr>
        <w:t>G</w:t>
      </w:r>
      <w:r>
        <w:rPr>
          <w:rFonts w:asciiTheme="majorHAnsi" w:hAnsiTheme="majorHAnsi" w:cstheme="minorHAnsi"/>
          <w:b/>
          <w:lang w:val="en-GB"/>
        </w:rPr>
        <w:t>.</w:t>
      </w:r>
      <w:r w:rsidRPr="000A0486">
        <w:rPr>
          <w:rFonts w:asciiTheme="majorHAnsi" w:hAnsiTheme="majorHAnsi" w:cstheme="minorHAnsi"/>
          <w:b/>
          <w:lang w:val="en-GB"/>
        </w:rPr>
        <w:t xml:space="preserve"> NRC, DRC)</w:t>
      </w:r>
    </w:p>
    <w:p w14:paraId="653EB999" w14:textId="77777777" w:rsidR="00C20608" w:rsidRPr="000A0486" w:rsidRDefault="00C20608" w:rsidP="00C20608">
      <w:pPr>
        <w:pStyle w:val="ListParagraph"/>
        <w:numPr>
          <w:ilvl w:val="0"/>
          <w:numId w:val="3"/>
        </w:numPr>
        <w:contextualSpacing/>
        <w:jc w:val="left"/>
        <w:rPr>
          <w:rFonts w:asciiTheme="majorHAnsi" w:hAnsiTheme="majorHAnsi" w:cstheme="minorHAnsi"/>
          <w:sz w:val="22"/>
          <w:szCs w:val="22"/>
          <w:u w:val="single"/>
          <w:lang w:val="en-GB"/>
        </w:rPr>
      </w:pPr>
      <w:r w:rsidRPr="000A0486">
        <w:rPr>
          <w:rFonts w:asciiTheme="majorHAnsi" w:hAnsiTheme="majorHAnsi" w:cstheme="minorHAnsi"/>
          <w:sz w:val="22"/>
          <w:szCs w:val="22"/>
          <w:u w:val="single"/>
          <w:lang w:val="en-GB"/>
        </w:rPr>
        <w:br w:type="page"/>
      </w:r>
    </w:p>
    <w:p w14:paraId="3262FF0B" w14:textId="77777777" w:rsidR="00C20608" w:rsidRPr="000A0486" w:rsidRDefault="00C20608" w:rsidP="00C20608">
      <w:pPr>
        <w:contextualSpacing/>
        <w:rPr>
          <w:rFonts w:asciiTheme="majorHAnsi" w:hAnsiTheme="majorHAnsi" w:cstheme="minorHAnsi"/>
          <w:u w:val="single"/>
          <w:lang w:val="en-GB"/>
        </w:rPr>
      </w:pPr>
      <w:r w:rsidRPr="000A0486">
        <w:rPr>
          <w:rFonts w:asciiTheme="majorHAnsi" w:hAnsiTheme="majorHAnsi" w:cstheme="minorHAnsi"/>
          <w:lang w:val="en-GB"/>
        </w:rPr>
        <w:t xml:space="preserve">4.  </w:t>
      </w:r>
      <w:r w:rsidRPr="000A0486">
        <w:rPr>
          <w:rFonts w:asciiTheme="majorHAnsi" w:hAnsiTheme="majorHAnsi" w:cstheme="minorHAnsi"/>
          <w:u w:val="single"/>
          <w:lang w:val="en-GB"/>
        </w:rPr>
        <w:t>Education: DG MoE</w:t>
      </w:r>
    </w:p>
    <w:p w14:paraId="1ADF2862" w14:textId="77777777" w:rsidR="00C20608" w:rsidRPr="000A0486" w:rsidRDefault="00C20608" w:rsidP="00C20608">
      <w:pPr>
        <w:pStyle w:val="Standard"/>
        <w:rPr>
          <w:rFonts w:asciiTheme="majorHAnsi" w:hAnsiTheme="majorHAnsi"/>
          <w:b/>
          <w:u w:val="single"/>
        </w:rPr>
      </w:pPr>
      <w:r w:rsidRPr="000A0486">
        <w:rPr>
          <w:rFonts w:asciiTheme="majorHAnsi" w:hAnsiTheme="majorHAnsi"/>
          <w:b/>
          <w:u w:val="single"/>
        </w:rPr>
        <w:t>MoE (From “Key Players” &amp; “Key Actors”):</w:t>
      </w:r>
    </w:p>
    <w:p w14:paraId="7E1CF3D7"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The Ministry of Education is chronically under-resourced and heavily reliant on humanitarian actors who currently fund approximately 80% of its activities. There are departments throughout all regions in Genesis except Abbania. </w:t>
      </w:r>
    </w:p>
    <w:p w14:paraId="37C380CF" w14:textId="77777777" w:rsidR="00C20608" w:rsidRPr="000A0486" w:rsidRDefault="00C20608" w:rsidP="00C20608">
      <w:pPr>
        <w:pStyle w:val="Standard"/>
        <w:rPr>
          <w:rFonts w:asciiTheme="majorHAnsi" w:hAnsiTheme="majorHAnsi"/>
        </w:rPr>
      </w:pPr>
      <w:r w:rsidRPr="000A0486">
        <w:rPr>
          <w:rFonts w:asciiTheme="majorHAnsi" w:hAnsiTheme="majorHAnsi"/>
          <w:i/>
        </w:rPr>
        <w:t>Minister of Education</w:t>
      </w:r>
      <w:r w:rsidRPr="000A0486">
        <w:rPr>
          <w:rFonts w:asciiTheme="majorHAnsi" w:hAnsiTheme="majorHAnsi"/>
        </w:rPr>
        <w:t xml:space="preserve"> </w:t>
      </w:r>
    </w:p>
    <w:p w14:paraId="623148DC" w14:textId="77777777" w:rsidR="00C20608" w:rsidRPr="000A0486" w:rsidRDefault="00C20608" w:rsidP="00C20608">
      <w:pPr>
        <w:pStyle w:val="Standard"/>
        <w:rPr>
          <w:rFonts w:asciiTheme="majorHAnsi" w:hAnsiTheme="majorHAnsi"/>
        </w:rPr>
      </w:pPr>
      <w:r w:rsidRPr="000A0486">
        <w:rPr>
          <w:rFonts w:asciiTheme="majorHAnsi" w:hAnsiTheme="majorHAnsi"/>
        </w:rPr>
        <w:t>Been in the role for many years. She has good relationships with most Ministries and with the Governor and is well respected by most. She has not worked well with the MoSW DG – she finds him impossible to communicate with and thinks he has no respect for women. She also has not worked well with Mayor of Collinstown. However, she has a close working relationship with the Governor and has been a strong advocate within the Government for increased funding for the education system in Genesis.</w:t>
      </w:r>
    </w:p>
    <w:p w14:paraId="17C4FA96" w14:textId="77777777" w:rsidR="00C20608" w:rsidRPr="000A0486" w:rsidRDefault="00C20608" w:rsidP="00C20608">
      <w:pPr>
        <w:pStyle w:val="Standard"/>
        <w:spacing w:after="240"/>
        <w:rPr>
          <w:rFonts w:asciiTheme="majorHAnsi" w:hAnsiTheme="majorHAnsi"/>
          <w:b/>
          <w:u w:val="single"/>
        </w:rPr>
      </w:pPr>
      <w:r w:rsidRPr="000A0486">
        <w:rPr>
          <w:rFonts w:asciiTheme="majorHAnsi" w:hAnsiTheme="majorHAnsi"/>
          <w:b/>
          <w:u w:val="single"/>
        </w:rPr>
        <w:t>Info</w:t>
      </w:r>
      <w:r>
        <w:rPr>
          <w:rFonts w:asciiTheme="majorHAnsi" w:hAnsiTheme="majorHAnsi"/>
          <w:b/>
          <w:u w:val="single"/>
        </w:rPr>
        <w:t xml:space="preserve"> from “Desk Review” (CPRA</w:t>
      </w:r>
      <w:r w:rsidRPr="000A0486">
        <w:rPr>
          <w:rFonts w:asciiTheme="majorHAnsi" w:hAnsiTheme="majorHAnsi"/>
          <w:b/>
          <w:u w:val="single"/>
        </w:rPr>
        <w:t xml:space="preserve"> Session)</w:t>
      </w:r>
    </w:p>
    <w:p w14:paraId="7ACE1E16" w14:textId="77777777" w:rsidR="00C20608" w:rsidRPr="000A0486" w:rsidRDefault="00C20608" w:rsidP="00C20608">
      <w:pPr>
        <w:rPr>
          <w:rFonts w:asciiTheme="majorHAnsi" w:hAnsiTheme="majorHAnsi"/>
          <w:bCs/>
          <w:i/>
          <w:lang w:val="en-GB"/>
        </w:rPr>
      </w:pPr>
      <w:r w:rsidRPr="000A0486">
        <w:rPr>
          <w:rFonts w:asciiTheme="majorHAnsi" w:hAnsiTheme="majorHAnsi"/>
          <w:bCs/>
          <w:i/>
          <w:lang w:val="en-GB"/>
        </w:rPr>
        <w:t xml:space="preserve">Ministry of Education, </w:t>
      </w:r>
      <w:r w:rsidRPr="000A0486">
        <w:rPr>
          <w:rFonts w:asciiTheme="majorHAnsi" w:hAnsiTheme="majorHAnsi"/>
          <w:bCs/>
          <w:lang w:val="en-GB"/>
        </w:rPr>
        <w:t xml:space="preserve">alongside MoSW, is significantly under-resourced and faces a range of issues. </w:t>
      </w:r>
      <w:r w:rsidRPr="000A0486">
        <w:rPr>
          <w:rFonts w:asciiTheme="majorHAnsi" w:hAnsiTheme="majorHAnsi" w:cstheme="minorHAnsi"/>
          <w:lang w:val="en-GB"/>
        </w:rPr>
        <w:t>Aside from a lack of teachers, schools and materials, families face a range of challenges to their children accessing schools. In the Abbania and Denver Regions, many Abbanian communities are reporting their children face harassment, threats and acts of violence by police, teachers, students and sometimes host communities.</w:t>
      </w:r>
      <w:r w:rsidRPr="000A0486">
        <w:rPr>
          <w:rStyle w:val="FootnoteReference"/>
          <w:rFonts w:asciiTheme="majorHAnsi" w:eastAsiaTheme="majorEastAsia" w:hAnsiTheme="majorHAnsi" w:cstheme="minorHAnsi"/>
          <w:lang w:val="en-GB"/>
        </w:rPr>
        <w:footnoteReference w:id="2"/>
      </w:r>
      <w:r w:rsidRPr="000A0486">
        <w:rPr>
          <w:rFonts w:asciiTheme="majorHAnsi" w:hAnsiTheme="majorHAnsi" w:cstheme="minorHAnsi"/>
          <w:lang w:val="en-GB"/>
        </w:rPr>
        <w:t xml:space="preserve">  Thus far very few emergency schools have been able to be established.</w:t>
      </w:r>
    </w:p>
    <w:p w14:paraId="50652AC7" w14:textId="77777777" w:rsidR="00C20608" w:rsidRPr="000A0486" w:rsidRDefault="00C20608" w:rsidP="00C20608">
      <w:pPr>
        <w:rPr>
          <w:rFonts w:asciiTheme="majorHAnsi" w:hAnsiTheme="majorHAnsi" w:cstheme="minorHAnsi"/>
          <w:lang w:val="en-GB"/>
        </w:rPr>
      </w:pPr>
      <w:r w:rsidRPr="000A0486">
        <w:rPr>
          <w:rFonts w:asciiTheme="majorHAnsi" w:hAnsiTheme="majorHAnsi" w:cstheme="minorHAnsi"/>
          <w:lang w:val="en-GB"/>
        </w:rPr>
        <w:t>Gender plays a role in access to education as girls attend schools in significantly fewer numbers than boys throughout Genesis; they are often kept home to help with the household work or as servants for wealthy families in urban areas. In rural areas they are often required to work on farms. Increasingly, communities are reporting that they are keeping their girls at home out of fear for their safety.</w:t>
      </w:r>
    </w:p>
    <w:p w14:paraId="5426E6A3" w14:textId="77777777" w:rsidR="00C20608" w:rsidRPr="000A0486" w:rsidRDefault="00C20608" w:rsidP="00C20608">
      <w:pPr>
        <w:rPr>
          <w:rFonts w:asciiTheme="majorHAnsi" w:hAnsiTheme="majorHAnsi" w:cstheme="minorHAnsi"/>
          <w:lang w:val="en-GB"/>
        </w:rPr>
      </w:pPr>
      <w:r w:rsidRPr="000A0486">
        <w:rPr>
          <w:rFonts w:asciiTheme="majorHAnsi" w:hAnsiTheme="majorHAnsi" w:cstheme="minorHAnsi"/>
          <w:lang w:val="en-GB"/>
        </w:rPr>
        <w:t xml:space="preserve">School fee requirements continue to be an on-going issue and prevention factor for many children to attend school. Whilst humanitarian actors manage approximately 80% of schools, the Genesian Government requires all school children to pay fees – a prohibitive cost for many families. </w:t>
      </w:r>
    </w:p>
    <w:p w14:paraId="736AECF4" w14:textId="77777777" w:rsidR="00C20608" w:rsidRPr="000A0486" w:rsidRDefault="00C20608" w:rsidP="00C20608">
      <w:pPr>
        <w:pStyle w:val="Standard"/>
        <w:rPr>
          <w:rFonts w:asciiTheme="majorHAnsi" w:hAnsiTheme="majorHAnsi"/>
          <w:b/>
          <w:u w:val="single"/>
        </w:rPr>
      </w:pPr>
      <w:r w:rsidRPr="000A0486">
        <w:rPr>
          <w:rFonts w:asciiTheme="majorHAnsi" w:hAnsiTheme="majorHAnsi"/>
          <w:b/>
          <w:u w:val="single"/>
        </w:rPr>
        <w:t>Plan International (</w:t>
      </w:r>
      <w:r w:rsidRPr="000A0486">
        <w:rPr>
          <w:rFonts w:asciiTheme="majorHAnsi" w:hAnsiTheme="majorHAnsi" w:cstheme="minorHAnsi"/>
          <w:b/>
          <w:u w:val="single"/>
        </w:rPr>
        <w:t>From “Key Players”):</w:t>
      </w:r>
    </w:p>
    <w:p w14:paraId="68114280" w14:textId="77777777" w:rsidR="00C20608" w:rsidRPr="000A0486" w:rsidRDefault="00C20608" w:rsidP="00C20608">
      <w:pPr>
        <w:pStyle w:val="Standard"/>
        <w:rPr>
          <w:rFonts w:asciiTheme="majorHAnsi" w:hAnsiTheme="majorHAnsi"/>
        </w:rPr>
      </w:pPr>
      <w:r w:rsidRPr="000A0486">
        <w:rPr>
          <w:rFonts w:asciiTheme="majorHAnsi" w:hAnsiTheme="majorHAnsi"/>
        </w:rPr>
        <w:t xml:space="preserve">Plan has had a presence in Genesis for almost a decade now. They have a head office in Collinstown and smaller sub-offices in Jelton and Abbania. They support with school construction as well as supporting with the provision of materials for schools and training for teachers, particularly in providing psychosocial support to school children. They support the running of child friendly spaces where appropriate and also have an expansive rural sanitation programme in Jelton and run cash for work programmes to support livelihood development. They have an especially strong relationship with civil society and communities in those areas where they work.  </w:t>
      </w:r>
      <w:r w:rsidRPr="000A0486">
        <w:rPr>
          <w:rFonts w:asciiTheme="majorHAnsi" w:hAnsiTheme="majorHAnsi"/>
        </w:rPr>
        <w:br/>
      </w:r>
    </w:p>
    <w:p w14:paraId="79311E0F" w14:textId="77777777" w:rsidR="00C20608" w:rsidRPr="000A0486" w:rsidRDefault="00C20608" w:rsidP="00C20608">
      <w:pPr>
        <w:rPr>
          <w:rFonts w:asciiTheme="majorHAnsi" w:hAnsiTheme="majorHAnsi" w:cstheme="minorHAnsi"/>
          <w:b/>
          <w:lang w:val="en-GB"/>
        </w:rPr>
      </w:pPr>
      <w:r w:rsidRPr="000A0486">
        <w:rPr>
          <w:rFonts w:asciiTheme="majorHAnsi" w:hAnsiTheme="majorHAnsi" w:cstheme="minorHAnsi"/>
          <w:b/>
          <w:lang w:val="en-GB"/>
        </w:rPr>
        <w:t>MAY ALSO REFER TO OTHER INGOS WORKING IN THIS AREA (SEE ABOVE IN SOCIAL WELFARE NOTES) AND LNGOS WORKING IN THIS AREA (SEE ABOVE IN CIVIL SOCIETY NOTES)</w:t>
      </w:r>
    </w:p>
    <w:p w14:paraId="6C5B256D" w14:textId="77777777" w:rsidR="00C20608" w:rsidRPr="00CE305E" w:rsidRDefault="00C20608" w:rsidP="00C20608">
      <w:pPr>
        <w:ind w:left="-360"/>
        <w:rPr>
          <w:rFonts w:asciiTheme="minorHAnsi" w:hAnsiTheme="minorHAnsi" w:cstheme="minorHAnsi"/>
          <w:sz w:val="24"/>
          <w:szCs w:val="24"/>
          <w:lang w:val="en-GB"/>
        </w:rPr>
      </w:pPr>
    </w:p>
    <w:p w14:paraId="7FB7A9B9" w14:textId="77777777" w:rsidR="00C20608" w:rsidRPr="00CE305E" w:rsidRDefault="00C20608" w:rsidP="00C20608">
      <w:pPr>
        <w:rPr>
          <w:rFonts w:asciiTheme="minorHAnsi" w:hAnsiTheme="minorHAnsi"/>
          <w:sz w:val="24"/>
          <w:szCs w:val="24"/>
          <w:lang w:val="en-GB"/>
        </w:rPr>
      </w:pPr>
    </w:p>
    <w:p w14:paraId="43F72A66" w14:textId="77777777" w:rsidR="00C20608" w:rsidRDefault="00C20608" w:rsidP="00C20608"/>
    <w:p w14:paraId="7C225F32" w14:textId="77777777" w:rsidR="00FA07F3" w:rsidRDefault="00FA07F3"/>
    <w:sectPr w:rsidR="00FA07F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E4C86" w14:textId="77777777" w:rsidR="00C20608" w:rsidRDefault="00C20608" w:rsidP="00C20608">
      <w:pPr>
        <w:spacing w:after="0" w:line="240" w:lineRule="auto"/>
      </w:pPr>
      <w:r>
        <w:separator/>
      </w:r>
    </w:p>
  </w:endnote>
  <w:endnote w:type="continuationSeparator" w:id="0">
    <w:p w14:paraId="0D8A4EDA" w14:textId="77777777" w:rsidR="00C20608" w:rsidRDefault="00C20608" w:rsidP="00C2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82443"/>
      <w:docPartObj>
        <w:docPartGallery w:val="Page Numbers (Bottom of Page)"/>
        <w:docPartUnique/>
      </w:docPartObj>
    </w:sdtPr>
    <w:sdtEndPr>
      <w:rPr>
        <w:noProof/>
      </w:rPr>
    </w:sdtEndPr>
    <w:sdtContent>
      <w:p w14:paraId="26473636" w14:textId="77777777" w:rsidR="004303C1" w:rsidRDefault="00C20608">
        <w:pPr>
          <w:pStyle w:val="Footer"/>
          <w:jc w:val="right"/>
        </w:pPr>
        <w:r>
          <w:fldChar w:fldCharType="begin"/>
        </w:r>
        <w:r>
          <w:instrText xml:space="preserve"> PAGE   \* MERGEFORMAT </w:instrText>
        </w:r>
        <w:r>
          <w:fldChar w:fldCharType="separate"/>
        </w:r>
        <w:r w:rsidR="00700BBF">
          <w:rPr>
            <w:noProof/>
          </w:rPr>
          <w:t>1</w:t>
        </w:r>
        <w:r>
          <w:rPr>
            <w:noProof/>
          </w:rPr>
          <w:fldChar w:fldCharType="end"/>
        </w:r>
      </w:p>
    </w:sdtContent>
  </w:sdt>
  <w:p w14:paraId="14F76AE5" w14:textId="77777777" w:rsidR="004303C1" w:rsidRDefault="00700B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B00B1" w14:textId="77777777" w:rsidR="00C20608" w:rsidRDefault="00C20608" w:rsidP="00C20608">
      <w:pPr>
        <w:spacing w:after="0" w:line="240" w:lineRule="auto"/>
      </w:pPr>
      <w:r>
        <w:separator/>
      </w:r>
    </w:p>
  </w:footnote>
  <w:footnote w:type="continuationSeparator" w:id="0">
    <w:p w14:paraId="0BC90C68" w14:textId="77777777" w:rsidR="00C20608" w:rsidRDefault="00C20608" w:rsidP="00C20608">
      <w:pPr>
        <w:spacing w:after="0" w:line="240" w:lineRule="auto"/>
      </w:pPr>
      <w:r>
        <w:continuationSeparator/>
      </w:r>
    </w:p>
  </w:footnote>
  <w:footnote w:id="1">
    <w:p w14:paraId="170C8E03" w14:textId="77777777" w:rsidR="00C20608" w:rsidRPr="003612B3" w:rsidRDefault="00C20608" w:rsidP="00C20608">
      <w:pPr>
        <w:pStyle w:val="FootnoteText"/>
        <w:rPr>
          <w:lang w:val="en-US"/>
        </w:rPr>
      </w:pPr>
      <w:r>
        <w:rPr>
          <w:rStyle w:val="FootnoteReference"/>
        </w:rPr>
        <w:footnoteRef/>
      </w:r>
      <w:r>
        <w:t xml:space="preserve"> </w:t>
      </w:r>
      <w:r>
        <w:rPr>
          <w:lang w:val="en-US"/>
        </w:rPr>
        <w:t xml:space="preserve">Review of National Government Finance and MoSW reports  </w:t>
      </w:r>
    </w:p>
  </w:footnote>
  <w:footnote w:id="2">
    <w:p w14:paraId="57B0D404" w14:textId="77777777" w:rsidR="00C20608" w:rsidRPr="00F32240" w:rsidRDefault="00C20608" w:rsidP="00C20608">
      <w:pPr>
        <w:pStyle w:val="FootnoteText"/>
        <w:rPr>
          <w:lang w:val="en-AU"/>
        </w:rPr>
      </w:pPr>
      <w:r>
        <w:rPr>
          <w:rStyle w:val="FootnoteReference"/>
        </w:rPr>
        <w:footnoteRef/>
      </w:r>
      <w:r>
        <w:t xml:space="preserve"> </w:t>
      </w:r>
      <w:r>
        <w:rPr>
          <w:lang w:val="en-AU"/>
        </w:rPr>
        <w:t>Noted in a recent report published by Save the Children Alliance ‘The State of Schools in Genesis”, June 2012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880"/>
    <w:multiLevelType w:val="hybridMultilevel"/>
    <w:tmpl w:val="E5D49D0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0F1B83"/>
    <w:multiLevelType w:val="hybridMultilevel"/>
    <w:tmpl w:val="392E1136"/>
    <w:lvl w:ilvl="0" w:tplc="A57E6FF6">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727C5231"/>
    <w:multiLevelType w:val="hybridMultilevel"/>
    <w:tmpl w:val="D47298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08"/>
    <w:rsid w:val="00700BBF"/>
    <w:rsid w:val="00846961"/>
    <w:rsid w:val="00C20608"/>
    <w:rsid w:val="00C44584"/>
    <w:rsid w:val="00FA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C341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08"/>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next w:val="TOC1"/>
    <w:autoRedefine/>
    <w:qFormat/>
    <w:rsid w:val="00846961"/>
    <w:pPr>
      <w:spacing w:before="120" w:after="0"/>
    </w:pPr>
    <w:rPr>
      <w:rFonts w:asciiTheme="majorHAnsi" w:hAnsiTheme="majorHAnsi"/>
      <w:b/>
      <w:color w:val="17365D" w:themeColor="text2" w:themeShade="BF"/>
      <w:sz w:val="32"/>
      <w:lang w:val="da-DK" w:eastAsia="da-DK"/>
    </w:rPr>
  </w:style>
  <w:style w:type="paragraph" w:styleId="TOC1">
    <w:name w:val="toc 1"/>
    <w:basedOn w:val="Normal"/>
    <w:next w:val="Normal"/>
    <w:autoRedefine/>
    <w:uiPriority w:val="39"/>
    <w:semiHidden/>
    <w:unhideWhenUsed/>
    <w:rsid w:val="00846961"/>
    <w:pPr>
      <w:spacing w:after="100"/>
    </w:pPr>
  </w:style>
  <w:style w:type="paragraph" w:styleId="ListParagraph">
    <w:name w:val="List Paragraph"/>
    <w:basedOn w:val="Normal"/>
    <w:uiPriority w:val="34"/>
    <w:qFormat/>
    <w:rsid w:val="00C20608"/>
    <w:pPr>
      <w:numPr>
        <w:numId w:val="1"/>
      </w:numPr>
      <w:spacing w:after="0" w:line="240" w:lineRule="auto"/>
      <w:jc w:val="both"/>
    </w:pPr>
    <w:rPr>
      <w:rFonts w:ascii="Arial Narrow" w:eastAsia="Calibri" w:hAnsi="Arial Narrow" w:cs="Calibri"/>
      <w:sz w:val="24"/>
      <w:szCs w:val="24"/>
      <w:lang w:val="en-AU"/>
    </w:rPr>
  </w:style>
  <w:style w:type="paragraph" w:styleId="Footer">
    <w:name w:val="footer"/>
    <w:basedOn w:val="Normal"/>
    <w:link w:val="FooterChar"/>
    <w:uiPriority w:val="99"/>
    <w:unhideWhenUsed/>
    <w:rsid w:val="00C20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608"/>
    <w:rPr>
      <w:rFonts w:ascii="Calibri" w:eastAsia="Times New Roman" w:hAnsi="Calibri" w:cs="Times New Roman"/>
      <w:sz w:val="22"/>
      <w:szCs w:val="22"/>
    </w:rPr>
  </w:style>
  <w:style w:type="paragraph" w:customStyle="1" w:styleId="Standard">
    <w:name w:val="Standard"/>
    <w:rsid w:val="00C20608"/>
    <w:pPr>
      <w:suppressAutoHyphens/>
      <w:autoSpaceDN w:val="0"/>
      <w:spacing w:before="200" w:line="276" w:lineRule="auto"/>
      <w:textAlignment w:val="baseline"/>
    </w:pPr>
    <w:rPr>
      <w:rFonts w:ascii="Calibri" w:eastAsia="Arial Unicode MS" w:hAnsi="Calibri" w:cs="Calibri"/>
      <w:kern w:val="3"/>
      <w:sz w:val="22"/>
      <w:szCs w:val="22"/>
      <w:lang w:val="en-GB"/>
    </w:rPr>
  </w:style>
  <w:style w:type="paragraph" w:styleId="FootnoteText">
    <w:name w:val="footnote text"/>
    <w:basedOn w:val="Normal"/>
    <w:link w:val="FootnoteTextChar"/>
    <w:uiPriority w:val="99"/>
    <w:semiHidden/>
    <w:unhideWhenUsed/>
    <w:rsid w:val="00C20608"/>
    <w:pPr>
      <w:spacing w:after="0" w:line="240" w:lineRule="auto"/>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semiHidden/>
    <w:rsid w:val="00C20608"/>
    <w:rPr>
      <w:rFonts w:ascii="Times New Roman" w:eastAsiaTheme="minorHAnsi" w:hAnsi="Times New Roman" w:cs="Times New Roman"/>
      <w:sz w:val="20"/>
      <w:szCs w:val="20"/>
      <w:lang w:val="en-GB"/>
    </w:rPr>
  </w:style>
  <w:style w:type="character" w:styleId="FootnoteReference">
    <w:name w:val="footnote reference"/>
    <w:basedOn w:val="DefaultParagraphFont"/>
    <w:uiPriority w:val="99"/>
    <w:semiHidden/>
    <w:unhideWhenUsed/>
    <w:rsid w:val="00C2060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08"/>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next w:val="TOC1"/>
    <w:autoRedefine/>
    <w:qFormat/>
    <w:rsid w:val="00846961"/>
    <w:pPr>
      <w:spacing w:before="120" w:after="0"/>
    </w:pPr>
    <w:rPr>
      <w:rFonts w:asciiTheme="majorHAnsi" w:hAnsiTheme="majorHAnsi"/>
      <w:b/>
      <w:color w:val="17365D" w:themeColor="text2" w:themeShade="BF"/>
      <w:sz w:val="32"/>
      <w:lang w:val="da-DK" w:eastAsia="da-DK"/>
    </w:rPr>
  </w:style>
  <w:style w:type="paragraph" w:styleId="TOC1">
    <w:name w:val="toc 1"/>
    <w:basedOn w:val="Normal"/>
    <w:next w:val="Normal"/>
    <w:autoRedefine/>
    <w:uiPriority w:val="39"/>
    <w:semiHidden/>
    <w:unhideWhenUsed/>
    <w:rsid w:val="00846961"/>
    <w:pPr>
      <w:spacing w:after="100"/>
    </w:pPr>
  </w:style>
  <w:style w:type="paragraph" w:styleId="ListParagraph">
    <w:name w:val="List Paragraph"/>
    <w:basedOn w:val="Normal"/>
    <w:uiPriority w:val="34"/>
    <w:qFormat/>
    <w:rsid w:val="00C20608"/>
    <w:pPr>
      <w:numPr>
        <w:numId w:val="1"/>
      </w:numPr>
      <w:spacing w:after="0" w:line="240" w:lineRule="auto"/>
      <w:jc w:val="both"/>
    </w:pPr>
    <w:rPr>
      <w:rFonts w:ascii="Arial Narrow" w:eastAsia="Calibri" w:hAnsi="Arial Narrow" w:cs="Calibri"/>
      <w:sz w:val="24"/>
      <w:szCs w:val="24"/>
      <w:lang w:val="en-AU"/>
    </w:rPr>
  </w:style>
  <w:style w:type="paragraph" w:styleId="Footer">
    <w:name w:val="footer"/>
    <w:basedOn w:val="Normal"/>
    <w:link w:val="FooterChar"/>
    <w:uiPriority w:val="99"/>
    <w:unhideWhenUsed/>
    <w:rsid w:val="00C20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608"/>
    <w:rPr>
      <w:rFonts w:ascii="Calibri" w:eastAsia="Times New Roman" w:hAnsi="Calibri" w:cs="Times New Roman"/>
      <w:sz w:val="22"/>
      <w:szCs w:val="22"/>
    </w:rPr>
  </w:style>
  <w:style w:type="paragraph" w:customStyle="1" w:styleId="Standard">
    <w:name w:val="Standard"/>
    <w:rsid w:val="00C20608"/>
    <w:pPr>
      <w:suppressAutoHyphens/>
      <w:autoSpaceDN w:val="0"/>
      <w:spacing w:before="200" w:line="276" w:lineRule="auto"/>
      <w:textAlignment w:val="baseline"/>
    </w:pPr>
    <w:rPr>
      <w:rFonts w:ascii="Calibri" w:eastAsia="Arial Unicode MS" w:hAnsi="Calibri" w:cs="Calibri"/>
      <w:kern w:val="3"/>
      <w:sz w:val="22"/>
      <w:szCs w:val="22"/>
      <w:lang w:val="en-GB"/>
    </w:rPr>
  </w:style>
  <w:style w:type="paragraph" w:styleId="FootnoteText">
    <w:name w:val="footnote text"/>
    <w:basedOn w:val="Normal"/>
    <w:link w:val="FootnoteTextChar"/>
    <w:uiPriority w:val="99"/>
    <w:semiHidden/>
    <w:unhideWhenUsed/>
    <w:rsid w:val="00C20608"/>
    <w:pPr>
      <w:spacing w:after="0" w:line="240" w:lineRule="auto"/>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semiHidden/>
    <w:rsid w:val="00C20608"/>
    <w:rPr>
      <w:rFonts w:ascii="Times New Roman" w:eastAsiaTheme="minorHAnsi" w:hAnsi="Times New Roman" w:cs="Times New Roman"/>
      <w:sz w:val="20"/>
      <w:szCs w:val="20"/>
      <w:lang w:val="en-GB"/>
    </w:rPr>
  </w:style>
  <w:style w:type="character" w:styleId="FootnoteReference">
    <w:name w:val="footnote reference"/>
    <w:basedOn w:val="DefaultParagraphFont"/>
    <w:uiPriority w:val="99"/>
    <w:semiHidden/>
    <w:unhideWhenUsed/>
    <w:rsid w:val="00C20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1964</Words>
  <Characters>11198</Characters>
  <Application>Microsoft Macintosh Word</Application>
  <DocSecurity>0</DocSecurity>
  <Lines>93</Lines>
  <Paragraphs>26</Paragraphs>
  <ScaleCrop>false</ScaleCrop>
  <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Lim Bertrand</dc:creator>
  <cp:keywords/>
  <dc:description/>
  <cp:lastModifiedBy>Sara Lim Bertrand</cp:lastModifiedBy>
  <cp:revision>2</cp:revision>
  <dcterms:created xsi:type="dcterms:W3CDTF">2013-09-15T14:40:00Z</dcterms:created>
  <dcterms:modified xsi:type="dcterms:W3CDTF">2013-10-14T14:43:00Z</dcterms:modified>
</cp:coreProperties>
</file>