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FFE915" w14:textId="0C17D3E2" w:rsidR="000A0486" w:rsidRDefault="000A0486" w:rsidP="000A0486">
      <w:pPr>
        <w:jc w:val="center"/>
        <w:rPr>
          <w:rFonts w:asciiTheme="majorHAnsi" w:hAnsiTheme="majorHAnsi" w:cstheme="minorHAnsi"/>
          <w:b/>
        </w:rPr>
      </w:pPr>
      <w:r w:rsidRPr="000A0486">
        <w:rPr>
          <w:rFonts w:asciiTheme="majorHAnsi" w:hAnsiTheme="majorHAnsi" w:cstheme="minorHAnsi"/>
          <w:b/>
          <w:u w:val="single"/>
        </w:rPr>
        <w:t>INTERVIEW GUIDE</w:t>
      </w:r>
      <w:r w:rsidRPr="000A0486">
        <w:rPr>
          <w:rFonts w:asciiTheme="majorHAnsi" w:hAnsiTheme="majorHAnsi" w:cstheme="minorHAnsi"/>
        </w:rPr>
        <w:t xml:space="preserve"> - </w:t>
      </w:r>
      <w:r w:rsidRPr="000A0486">
        <w:rPr>
          <w:rFonts w:asciiTheme="majorHAnsi" w:hAnsiTheme="majorHAnsi" w:cstheme="minorHAnsi"/>
          <w:b/>
        </w:rPr>
        <w:t>Overall Info</w:t>
      </w:r>
      <w:r w:rsidR="00E96813">
        <w:rPr>
          <w:rFonts w:asciiTheme="majorHAnsi" w:hAnsiTheme="majorHAnsi" w:cstheme="minorHAnsi"/>
          <w:b/>
        </w:rPr>
        <w:t xml:space="preserve"> for Participants</w:t>
      </w:r>
      <w:bookmarkStart w:id="0" w:name="_GoBack"/>
      <w:bookmarkEnd w:id="0"/>
      <w:r>
        <w:rPr>
          <w:rFonts w:asciiTheme="majorHAnsi" w:hAnsiTheme="majorHAnsi" w:cstheme="minorHAnsi"/>
          <w:b/>
        </w:rPr>
        <w:t xml:space="preserve"> </w:t>
      </w:r>
    </w:p>
    <w:p w14:paraId="2D9D8287" w14:textId="77777777" w:rsidR="000A0486" w:rsidRPr="000A0486" w:rsidRDefault="0014644F" w:rsidP="000A0486">
      <w:pPr>
        <w:rPr>
          <w:rFonts w:asciiTheme="majorHAnsi" w:hAnsiTheme="majorHAnsi" w:cstheme="minorHAnsi"/>
        </w:rPr>
      </w:pPr>
      <w:r>
        <w:rPr>
          <w:rFonts w:asciiTheme="majorHAnsi" w:hAnsiTheme="majorHAnsi" w:cstheme="minorHAnsi"/>
        </w:rPr>
        <w:t>From “Desk Review” (CPRA</w:t>
      </w:r>
      <w:r w:rsidR="000A0486" w:rsidRPr="000A0486">
        <w:rPr>
          <w:rFonts w:asciiTheme="majorHAnsi" w:hAnsiTheme="majorHAnsi" w:cstheme="minorHAnsi"/>
        </w:rPr>
        <w:t xml:space="preserve"> Session)</w:t>
      </w:r>
    </w:p>
    <w:p w14:paraId="0EA53BDB" w14:textId="77777777" w:rsidR="000A0486" w:rsidRPr="000A0486" w:rsidRDefault="000A0486" w:rsidP="000A0486">
      <w:pPr>
        <w:numPr>
          <w:ilvl w:val="0"/>
          <w:numId w:val="3"/>
        </w:numPr>
        <w:spacing w:after="0"/>
        <w:ind w:left="360"/>
        <w:rPr>
          <w:rFonts w:asciiTheme="majorHAnsi" w:hAnsiTheme="majorHAnsi"/>
        </w:rPr>
      </w:pPr>
      <w:r w:rsidRPr="000A0486">
        <w:rPr>
          <w:rFonts w:asciiTheme="majorHAnsi" w:hAnsiTheme="majorHAnsi"/>
        </w:rPr>
        <w:t xml:space="preserve">While it is accepted that there are large numbers of separated children throughout the country, there is no sense of the scale and no knowledge on the dynamics and patterns of separation.  The ICRC has a Restoring Family Links programme in Genesis, but there are no specific programmes targeting separated and unaccompanied children.  </w:t>
      </w:r>
    </w:p>
    <w:p w14:paraId="73F5E69F" w14:textId="77777777" w:rsidR="000A0486" w:rsidRPr="000A0486" w:rsidRDefault="000A0486" w:rsidP="000A0486">
      <w:pPr>
        <w:numPr>
          <w:ilvl w:val="0"/>
          <w:numId w:val="3"/>
        </w:numPr>
        <w:spacing w:after="0"/>
        <w:ind w:left="360"/>
        <w:rPr>
          <w:rFonts w:asciiTheme="majorHAnsi" w:hAnsiTheme="majorHAnsi"/>
        </w:rPr>
      </w:pPr>
      <w:r w:rsidRPr="000A0486">
        <w:rPr>
          <w:rFonts w:asciiTheme="majorHAnsi" w:hAnsiTheme="majorHAnsi"/>
        </w:rPr>
        <w:t xml:space="preserve">IDP Women’s groups have reported that their displacement has been characterized by increased exposure to GBV, including sexual violence, domestic violence, and early marriage.   </w:t>
      </w:r>
    </w:p>
    <w:p w14:paraId="3B9D4617" w14:textId="77777777" w:rsidR="000A0486" w:rsidRPr="000A0486" w:rsidRDefault="000A0486" w:rsidP="000A0486">
      <w:pPr>
        <w:spacing w:before="240"/>
        <w:rPr>
          <w:rFonts w:asciiTheme="majorHAnsi" w:hAnsiTheme="majorHAnsi"/>
        </w:rPr>
      </w:pPr>
      <w:r w:rsidRPr="000A0486">
        <w:rPr>
          <w:rFonts w:asciiTheme="majorHAnsi" w:hAnsiTheme="majorHAnsi"/>
          <w:b/>
          <w:bCs/>
          <w:u w:val="single"/>
        </w:rPr>
        <w:t>Social Norms and Community-Based Mechanisms</w:t>
      </w:r>
      <w:r w:rsidRPr="000A0486">
        <w:rPr>
          <w:rFonts w:asciiTheme="majorHAnsi" w:hAnsiTheme="majorHAnsi"/>
        </w:rPr>
        <w:t xml:space="preserve"> </w:t>
      </w:r>
    </w:p>
    <w:p w14:paraId="1B96C297" w14:textId="77777777" w:rsidR="000A0486" w:rsidRPr="000A0486" w:rsidRDefault="000A0486" w:rsidP="000A0486">
      <w:pPr>
        <w:rPr>
          <w:rFonts w:asciiTheme="majorHAnsi" w:hAnsiTheme="majorHAnsi"/>
        </w:rPr>
      </w:pPr>
      <w:r w:rsidRPr="000A0486">
        <w:rPr>
          <w:rFonts w:asciiTheme="majorHAnsi" w:hAnsiTheme="majorHAnsi"/>
          <w:i/>
        </w:rPr>
        <w:t>Age of majority/adulthood</w:t>
      </w:r>
      <w:r w:rsidRPr="000A0486">
        <w:rPr>
          <w:rFonts w:asciiTheme="majorHAnsi" w:hAnsiTheme="majorHAnsi"/>
        </w:rPr>
        <w:t xml:space="preserve"> </w:t>
      </w:r>
    </w:p>
    <w:p w14:paraId="01B3D35B" w14:textId="77777777" w:rsidR="000A0486" w:rsidRPr="000A0486" w:rsidRDefault="000A0486" w:rsidP="000A0486">
      <w:pPr>
        <w:pStyle w:val="ListParagraph"/>
        <w:numPr>
          <w:ilvl w:val="0"/>
          <w:numId w:val="4"/>
        </w:numPr>
        <w:spacing w:line="276" w:lineRule="auto"/>
        <w:contextualSpacing/>
        <w:jc w:val="left"/>
        <w:rPr>
          <w:rFonts w:asciiTheme="majorHAnsi" w:hAnsiTheme="majorHAnsi"/>
          <w:sz w:val="22"/>
          <w:szCs w:val="22"/>
        </w:rPr>
      </w:pPr>
      <w:r w:rsidRPr="000A0486">
        <w:rPr>
          <w:rFonts w:asciiTheme="majorHAnsi" w:hAnsiTheme="majorHAnsi"/>
          <w:sz w:val="22"/>
          <w:szCs w:val="22"/>
        </w:rPr>
        <w:t xml:space="preserve">The social norms around age of maturity/adulthood are common across both Abbanian and Denverite ethnic groups.  </w:t>
      </w:r>
    </w:p>
    <w:p w14:paraId="6ABFFBE2" w14:textId="77777777" w:rsidR="000A0486" w:rsidRPr="000A0486" w:rsidRDefault="000A0486" w:rsidP="000A0486">
      <w:pPr>
        <w:pStyle w:val="ListParagraph"/>
        <w:numPr>
          <w:ilvl w:val="0"/>
          <w:numId w:val="4"/>
        </w:numPr>
        <w:spacing w:line="276" w:lineRule="auto"/>
        <w:contextualSpacing/>
        <w:jc w:val="left"/>
        <w:rPr>
          <w:rFonts w:asciiTheme="majorHAnsi" w:hAnsiTheme="majorHAnsi"/>
          <w:sz w:val="22"/>
          <w:szCs w:val="22"/>
        </w:rPr>
      </w:pPr>
      <w:r w:rsidRPr="000A0486">
        <w:rPr>
          <w:rFonts w:asciiTheme="majorHAnsi" w:hAnsiTheme="majorHAnsi"/>
          <w:sz w:val="22"/>
          <w:szCs w:val="22"/>
        </w:rPr>
        <w:t>The traditional age of maturity for girls is at the time of menstruation. While there has been a traditional practice of childhood marriage, years of relative peace and economic prosperity in Genesis resulted in a decrease in this practice.  There are concerns this practice has increased since 2009.</w:t>
      </w:r>
    </w:p>
    <w:p w14:paraId="622F054A" w14:textId="77777777" w:rsidR="000A0486" w:rsidRPr="000A0486" w:rsidRDefault="000A0486" w:rsidP="000A0486">
      <w:pPr>
        <w:pStyle w:val="ListParagraph"/>
        <w:numPr>
          <w:ilvl w:val="0"/>
          <w:numId w:val="4"/>
        </w:numPr>
        <w:spacing w:line="276" w:lineRule="auto"/>
        <w:contextualSpacing/>
        <w:jc w:val="left"/>
        <w:rPr>
          <w:rFonts w:asciiTheme="majorHAnsi" w:hAnsiTheme="majorHAnsi"/>
          <w:sz w:val="22"/>
          <w:szCs w:val="22"/>
        </w:rPr>
      </w:pPr>
      <w:r w:rsidRPr="000A0486">
        <w:rPr>
          <w:rFonts w:asciiTheme="majorHAnsi" w:hAnsiTheme="majorHAnsi"/>
          <w:sz w:val="22"/>
          <w:szCs w:val="22"/>
        </w:rPr>
        <w:t xml:space="preserve">Upon reaching the age of 15, boys participate in a manhood ceremony which takes place at the community level, after which they are considered men and available for marriage.  There is a strong traditional norm among all ethnic groups in Genesis that the eldest unmarried male in each family is responsible to contribute to the safety and security of the community.  </w:t>
      </w:r>
    </w:p>
    <w:p w14:paraId="40EABFD9" w14:textId="77777777" w:rsidR="000A0486" w:rsidRPr="000A0486" w:rsidRDefault="000A0486" w:rsidP="000A0486">
      <w:pPr>
        <w:spacing w:before="240"/>
        <w:rPr>
          <w:rFonts w:asciiTheme="majorHAnsi" w:eastAsia="Calibri" w:hAnsiTheme="majorHAnsi"/>
          <w:i/>
        </w:rPr>
      </w:pPr>
      <w:r w:rsidRPr="000A0486">
        <w:rPr>
          <w:rFonts w:asciiTheme="majorHAnsi" w:eastAsia="Calibri" w:hAnsiTheme="majorHAnsi"/>
          <w:i/>
        </w:rPr>
        <w:t>Role of women and care for children</w:t>
      </w:r>
    </w:p>
    <w:p w14:paraId="08CECB1E" w14:textId="77777777" w:rsidR="000A0486" w:rsidRPr="000A0486" w:rsidRDefault="000A0486" w:rsidP="000A0486">
      <w:pPr>
        <w:pStyle w:val="ListParagraph"/>
        <w:numPr>
          <w:ilvl w:val="0"/>
          <w:numId w:val="5"/>
        </w:numPr>
        <w:spacing w:line="276" w:lineRule="auto"/>
        <w:contextualSpacing/>
        <w:jc w:val="left"/>
        <w:rPr>
          <w:rFonts w:asciiTheme="majorHAnsi" w:hAnsiTheme="majorHAnsi"/>
          <w:sz w:val="22"/>
          <w:szCs w:val="22"/>
        </w:rPr>
      </w:pPr>
      <w:r w:rsidRPr="000A0486">
        <w:rPr>
          <w:rFonts w:asciiTheme="majorHAnsi" w:hAnsiTheme="majorHAnsi"/>
          <w:sz w:val="22"/>
          <w:szCs w:val="22"/>
        </w:rPr>
        <w:t xml:space="preserve">In Abbania society, women and men have traditionally worked side by side with relative equality within the Abbanian family, albeit with separate and well-defined roles.  Previous years of relative peace and economic prosperity were characterized with increased social roles and empowerment of women.  As a result, both men and women tend to form strong community ties and community groups can be found among many communities.   </w:t>
      </w:r>
    </w:p>
    <w:p w14:paraId="0052E4DE" w14:textId="77777777" w:rsidR="000A0486" w:rsidRPr="000A0486" w:rsidRDefault="000A0486" w:rsidP="000A0486">
      <w:pPr>
        <w:pStyle w:val="ListParagraph"/>
        <w:numPr>
          <w:ilvl w:val="0"/>
          <w:numId w:val="5"/>
        </w:numPr>
        <w:spacing w:line="276" w:lineRule="auto"/>
        <w:contextualSpacing/>
        <w:jc w:val="left"/>
        <w:rPr>
          <w:rFonts w:asciiTheme="majorHAnsi" w:hAnsiTheme="majorHAnsi"/>
          <w:strike/>
          <w:sz w:val="22"/>
          <w:szCs w:val="22"/>
        </w:rPr>
      </w:pPr>
      <w:r w:rsidRPr="000A0486">
        <w:rPr>
          <w:rFonts w:asciiTheme="majorHAnsi" w:hAnsiTheme="majorHAnsi"/>
          <w:sz w:val="22"/>
          <w:szCs w:val="22"/>
        </w:rPr>
        <w:t xml:space="preserve">According to Animist beliefs, their own community should care for children.  Amongst the more religious Abbania ethnic group as well as among some Denverite communities, there is a strong history of extended families as well as community leaders providing care for children whose parents have left the community (for work etc) or orphans.  </w:t>
      </w:r>
    </w:p>
    <w:p w14:paraId="0722B726" w14:textId="77777777" w:rsidR="000A0486" w:rsidRPr="000A0486" w:rsidRDefault="000A0486" w:rsidP="000A0486">
      <w:pPr>
        <w:pStyle w:val="ListParagraph"/>
        <w:numPr>
          <w:ilvl w:val="0"/>
          <w:numId w:val="5"/>
        </w:numPr>
        <w:spacing w:line="276" w:lineRule="auto"/>
        <w:contextualSpacing/>
        <w:jc w:val="left"/>
        <w:rPr>
          <w:rFonts w:asciiTheme="majorHAnsi" w:hAnsiTheme="majorHAnsi"/>
          <w:sz w:val="22"/>
          <w:szCs w:val="22"/>
        </w:rPr>
      </w:pPr>
      <w:r w:rsidRPr="000A0486">
        <w:rPr>
          <w:rFonts w:asciiTheme="majorHAnsi" w:hAnsiTheme="majorHAnsi"/>
          <w:sz w:val="22"/>
          <w:szCs w:val="22"/>
        </w:rPr>
        <w:t xml:space="preserve">Communities have developed new ways to cope with the increase in both risks and cases of sexual violence resulting from economic, social and political breakdown that has characterized the conflict in Genesis.  In response to traditional norms around the non-marriageability of girls/women who have been raped, one of the forms of community justice that has emerged is for perpetrators of rape to marry their victims.  Victims who do not abide by this practice are often ostracized from their communities.   </w:t>
      </w:r>
    </w:p>
    <w:p w14:paraId="59D8DD82" w14:textId="77777777" w:rsidR="000A0486" w:rsidRPr="000A0486" w:rsidRDefault="000A0486" w:rsidP="000A0486">
      <w:pPr>
        <w:pStyle w:val="ListParagraph"/>
        <w:numPr>
          <w:ilvl w:val="0"/>
          <w:numId w:val="5"/>
        </w:numPr>
        <w:spacing w:line="276" w:lineRule="auto"/>
        <w:contextualSpacing/>
        <w:jc w:val="left"/>
        <w:rPr>
          <w:rFonts w:asciiTheme="majorHAnsi" w:hAnsiTheme="majorHAnsi"/>
          <w:sz w:val="22"/>
          <w:szCs w:val="22"/>
        </w:rPr>
      </w:pPr>
      <w:r w:rsidRPr="000A0486">
        <w:rPr>
          <w:rFonts w:asciiTheme="majorHAnsi" w:hAnsiTheme="majorHAnsi"/>
          <w:sz w:val="22"/>
          <w:szCs w:val="22"/>
        </w:rPr>
        <w:t>In urban areas where traditional practices are less common, there is a strong push for institutional care for children separated from their primary caregivers. In some cases, children have been reported as being placed in institutional care by single parents and those experiencing severe poverty.</w:t>
      </w:r>
    </w:p>
    <w:p w14:paraId="6FB6AEFD" w14:textId="07F4CBA8" w:rsidR="000A0486" w:rsidRPr="000A0486" w:rsidRDefault="00E96813" w:rsidP="000A0486">
      <w:pPr>
        <w:spacing w:before="240"/>
        <w:rPr>
          <w:rFonts w:asciiTheme="majorHAnsi" w:hAnsiTheme="majorHAnsi"/>
          <w:b/>
          <w:u w:val="single"/>
        </w:rPr>
      </w:pPr>
      <w:r>
        <w:rPr>
          <w:rFonts w:asciiTheme="majorHAnsi" w:hAnsiTheme="majorHAnsi"/>
          <w:b/>
          <w:u w:val="single"/>
        </w:rPr>
        <w:lastRenderedPageBreak/>
        <w:t>Regional Specific Info on Separation and Violence</w:t>
      </w:r>
    </w:p>
    <w:p w14:paraId="4E640A9C" w14:textId="77777777" w:rsidR="000A0486" w:rsidRPr="000A0486" w:rsidRDefault="000A0486" w:rsidP="000A0486">
      <w:pPr>
        <w:pStyle w:val="ListParagraph"/>
        <w:numPr>
          <w:ilvl w:val="0"/>
          <w:numId w:val="6"/>
        </w:numPr>
        <w:spacing w:after="240"/>
        <w:contextualSpacing/>
        <w:jc w:val="left"/>
        <w:rPr>
          <w:rFonts w:asciiTheme="majorHAnsi" w:hAnsiTheme="majorHAnsi" w:cstheme="minorHAnsi"/>
          <w:sz w:val="22"/>
          <w:szCs w:val="22"/>
        </w:rPr>
      </w:pPr>
      <w:r w:rsidRPr="000A0486">
        <w:rPr>
          <w:rFonts w:asciiTheme="majorHAnsi" w:hAnsiTheme="majorHAnsi" w:cstheme="minorHAnsi"/>
          <w:sz w:val="22"/>
          <w:szCs w:val="22"/>
          <w:u w:val="single"/>
        </w:rPr>
        <w:t>Denver Region/Collinstown</w:t>
      </w:r>
      <w:r w:rsidRPr="000A0486">
        <w:rPr>
          <w:rFonts w:asciiTheme="majorHAnsi" w:hAnsiTheme="majorHAnsi" w:cstheme="minorHAnsi"/>
          <w:sz w:val="22"/>
          <w:szCs w:val="22"/>
        </w:rPr>
        <w:t>:</w:t>
      </w:r>
    </w:p>
    <w:p w14:paraId="6EF7CF52" w14:textId="77777777" w:rsidR="000A0486" w:rsidRPr="000A0486" w:rsidRDefault="000A0486" w:rsidP="000A0486">
      <w:pPr>
        <w:pStyle w:val="ListParagraph"/>
        <w:numPr>
          <w:ilvl w:val="1"/>
          <w:numId w:val="6"/>
        </w:numPr>
        <w:spacing w:line="276" w:lineRule="auto"/>
        <w:contextualSpacing/>
        <w:jc w:val="left"/>
        <w:rPr>
          <w:rFonts w:asciiTheme="majorHAnsi" w:hAnsiTheme="majorHAnsi"/>
          <w:sz w:val="22"/>
          <w:szCs w:val="22"/>
        </w:rPr>
      </w:pPr>
      <w:r w:rsidRPr="000A0486">
        <w:rPr>
          <w:rFonts w:asciiTheme="majorHAnsi" w:hAnsiTheme="majorHAnsi"/>
          <w:sz w:val="22"/>
          <w:szCs w:val="22"/>
        </w:rPr>
        <w:t xml:space="preserve">The MoSW as well as religious and women’s groups have established residential care institutions for especially vulnerable children.  These are providing care for the high numbers of IDP children who are arriving in Collinstown without their parents.  There have been a number of reports of children with impoverished caregivers (and/or single parents) abandoned to these centres. </w:t>
      </w:r>
    </w:p>
    <w:p w14:paraId="33D97606" w14:textId="77777777" w:rsidR="000A0486" w:rsidRPr="000A0486" w:rsidRDefault="000A0486" w:rsidP="000A0486">
      <w:pPr>
        <w:pStyle w:val="ListParagraph"/>
        <w:numPr>
          <w:ilvl w:val="1"/>
          <w:numId w:val="6"/>
        </w:numPr>
        <w:spacing w:line="276" w:lineRule="auto"/>
        <w:contextualSpacing/>
        <w:jc w:val="left"/>
        <w:rPr>
          <w:rFonts w:asciiTheme="majorHAnsi" w:hAnsiTheme="majorHAnsi"/>
          <w:sz w:val="22"/>
          <w:szCs w:val="22"/>
        </w:rPr>
      </w:pPr>
      <w:r w:rsidRPr="000A0486">
        <w:rPr>
          <w:rFonts w:asciiTheme="majorHAnsi" w:hAnsiTheme="majorHAnsi"/>
          <w:sz w:val="22"/>
          <w:szCs w:val="22"/>
        </w:rPr>
        <w:t xml:space="preserve">There have been increased incidents of GBV within the IDP/Refugee communities in the camps.  This includes increased sexual violence perpetrated against adolescent girls and women, with no information available on the perpetrators.   As a result of the traditional norms and response to sexual violence, it is assumed that there is significant under reporting of rape.   Women and children have reported increased exposure to domestic violence, believed to be a result of increased frustration among the displaced.   </w:t>
      </w:r>
    </w:p>
    <w:p w14:paraId="38919A20" w14:textId="77777777" w:rsidR="000A0486" w:rsidRPr="000A0486" w:rsidRDefault="000A0486" w:rsidP="000A0486">
      <w:pPr>
        <w:pStyle w:val="ListParagraph"/>
        <w:numPr>
          <w:ilvl w:val="1"/>
          <w:numId w:val="6"/>
        </w:numPr>
        <w:spacing w:line="276" w:lineRule="auto"/>
        <w:contextualSpacing/>
        <w:jc w:val="left"/>
        <w:rPr>
          <w:rFonts w:asciiTheme="majorHAnsi" w:hAnsiTheme="majorHAnsi"/>
          <w:sz w:val="22"/>
          <w:szCs w:val="22"/>
        </w:rPr>
      </w:pPr>
      <w:r w:rsidRPr="000A0486">
        <w:rPr>
          <w:rFonts w:asciiTheme="majorHAnsi" w:hAnsiTheme="majorHAnsi"/>
          <w:sz w:val="22"/>
          <w:szCs w:val="22"/>
        </w:rPr>
        <w:t>With the influx of displaced persons into urban areas in Collinstown and beyond, there has been a notable increase in sex workers on the streets. It is believed many of these sex workers are young IDP or refugee girls.</w:t>
      </w:r>
    </w:p>
    <w:p w14:paraId="44D27E37" w14:textId="77777777" w:rsidR="000A0486" w:rsidRPr="000A0486" w:rsidRDefault="000A0486" w:rsidP="000A0486">
      <w:pPr>
        <w:pStyle w:val="ListParagraph"/>
        <w:numPr>
          <w:ilvl w:val="0"/>
          <w:numId w:val="0"/>
        </w:numPr>
        <w:ind w:left="360"/>
        <w:jc w:val="left"/>
        <w:rPr>
          <w:rFonts w:asciiTheme="majorHAnsi" w:hAnsiTheme="majorHAnsi" w:cstheme="minorHAnsi"/>
          <w:sz w:val="22"/>
          <w:szCs w:val="22"/>
        </w:rPr>
      </w:pPr>
    </w:p>
    <w:p w14:paraId="5A40CD7C" w14:textId="77777777" w:rsidR="000A0486" w:rsidRPr="000A0486" w:rsidRDefault="000A0486" w:rsidP="000A0486">
      <w:pPr>
        <w:pStyle w:val="ListParagraph"/>
        <w:numPr>
          <w:ilvl w:val="0"/>
          <w:numId w:val="6"/>
        </w:numPr>
        <w:contextualSpacing/>
        <w:jc w:val="left"/>
        <w:rPr>
          <w:rFonts w:asciiTheme="majorHAnsi" w:hAnsiTheme="majorHAnsi" w:cstheme="minorHAnsi"/>
          <w:sz w:val="22"/>
          <w:szCs w:val="22"/>
          <w:u w:val="single"/>
        </w:rPr>
      </w:pPr>
      <w:r w:rsidRPr="000A0486">
        <w:rPr>
          <w:rFonts w:asciiTheme="majorHAnsi" w:hAnsiTheme="majorHAnsi" w:cstheme="minorHAnsi"/>
          <w:sz w:val="22"/>
          <w:szCs w:val="22"/>
          <w:u w:val="single"/>
        </w:rPr>
        <w:t>Jelton Region:</w:t>
      </w:r>
    </w:p>
    <w:p w14:paraId="0317EF28" w14:textId="77777777" w:rsidR="000A0486" w:rsidRPr="000A0486" w:rsidRDefault="000A0486" w:rsidP="000A0486">
      <w:pPr>
        <w:pStyle w:val="ListParagraph"/>
        <w:numPr>
          <w:ilvl w:val="1"/>
          <w:numId w:val="6"/>
        </w:numPr>
        <w:spacing w:line="276" w:lineRule="auto"/>
        <w:contextualSpacing/>
        <w:jc w:val="left"/>
        <w:rPr>
          <w:rFonts w:asciiTheme="majorHAnsi" w:hAnsiTheme="majorHAnsi"/>
          <w:sz w:val="22"/>
          <w:szCs w:val="22"/>
        </w:rPr>
      </w:pPr>
      <w:r w:rsidRPr="000A0486">
        <w:rPr>
          <w:rFonts w:asciiTheme="majorHAnsi" w:hAnsiTheme="majorHAnsi"/>
          <w:sz w:val="22"/>
          <w:szCs w:val="22"/>
        </w:rPr>
        <w:t>School attendance is extremely low throughout the Jelton Region. In the last few months, reported attendance has dropped below half and of those still attending, a very small percentage are girls.</w:t>
      </w:r>
    </w:p>
    <w:p w14:paraId="483E9498" w14:textId="77777777" w:rsidR="000A0486" w:rsidRPr="000A0486" w:rsidRDefault="000A0486" w:rsidP="000A0486">
      <w:pPr>
        <w:pStyle w:val="ListParagraph"/>
        <w:numPr>
          <w:ilvl w:val="1"/>
          <w:numId w:val="6"/>
        </w:numPr>
        <w:spacing w:line="276" w:lineRule="auto"/>
        <w:contextualSpacing/>
        <w:jc w:val="left"/>
        <w:rPr>
          <w:rFonts w:asciiTheme="majorHAnsi" w:hAnsiTheme="majorHAnsi"/>
          <w:sz w:val="22"/>
          <w:szCs w:val="22"/>
        </w:rPr>
      </w:pPr>
      <w:r w:rsidRPr="000A0486">
        <w:rPr>
          <w:rFonts w:asciiTheme="majorHAnsi" w:hAnsiTheme="majorHAnsi"/>
          <w:sz w:val="22"/>
          <w:szCs w:val="22"/>
        </w:rPr>
        <w:t>Reasons for this include community protection measures (schools are not safe; early marriage as a response) and child labour</w:t>
      </w:r>
    </w:p>
    <w:p w14:paraId="23D75481" w14:textId="77777777" w:rsidR="000A0486" w:rsidRPr="000A0486" w:rsidRDefault="000A0486" w:rsidP="000A0486">
      <w:pPr>
        <w:pStyle w:val="ListParagraph"/>
        <w:numPr>
          <w:ilvl w:val="1"/>
          <w:numId w:val="6"/>
        </w:numPr>
        <w:spacing w:line="276" w:lineRule="auto"/>
        <w:contextualSpacing/>
        <w:jc w:val="left"/>
        <w:rPr>
          <w:rFonts w:asciiTheme="majorHAnsi" w:hAnsiTheme="majorHAnsi"/>
          <w:sz w:val="22"/>
          <w:szCs w:val="22"/>
        </w:rPr>
      </w:pPr>
      <w:r w:rsidRPr="000A0486">
        <w:rPr>
          <w:rFonts w:asciiTheme="majorHAnsi" w:hAnsiTheme="majorHAnsi"/>
          <w:sz w:val="22"/>
          <w:szCs w:val="22"/>
        </w:rPr>
        <w:t>Not much info on care arrangements in Jelton. Residential care not really used – community based care seems to be preferred option</w:t>
      </w:r>
    </w:p>
    <w:p w14:paraId="16D195B5" w14:textId="77777777" w:rsidR="000A0486" w:rsidRPr="000A0486" w:rsidRDefault="000A0486" w:rsidP="000A0486">
      <w:pPr>
        <w:pStyle w:val="ListParagraph"/>
        <w:numPr>
          <w:ilvl w:val="1"/>
          <w:numId w:val="6"/>
        </w:numPr>
        <w:spacing w:line="276" w:lineRule="auto"/>
        <w:contextualSpacing/>
        <w:jc w:val="left"/>
        <w:rPr>
          <w:rFonts w:asciiTheme="majorHAnsi" w:hAnsiTheme="majorHAnsi"/>
          <w:sz w:val="22"/>
          <w:szCs w:val="22"/>
        </w:rPr>
      </w:pPr>
      <w:r w:rsidRPr="000A0486">
        <w:rPr>
          <w:rFonts w:asciiTheme="majorHAnsi" w:hAnsiTheme="majorHAnsi"/>
          <w:sz w:val="22"/>
          <w:szCs w:val="22"/>
        </w:rPr>
        <w:t>Small regional MoSW office. Small MoE office</w:t>
      </w:r>
    </w:p>
    <w:p w14:paraId="0169071E" w14:textId="77777777" w:rsidR="000A0486" w:rsidRPr="000A0486" w:rsidRDefault="000A0486" w:rsidP="000A0486">
      <w:pPr>
        <w:spacing w:after="0"/>
        <w:rPr>
          <w:rFonts w:asciiTheme="majorHAnsi" w:hAnsiTheme="majorHAnsi" w:cstheme="minorHAnsi"/>
        </w:rPr>
      </w:pPr>
    </w:p>
    <w:p w14:paraId="3542AC84" w14:textId="77777777" w:rsidR="000A0486" w:rsidRPr="000A0486" w:rsidRDefault="000A0486" w:rsidP="000A0486">
      <w:pPr>
        <w:pStyle w:val="ListParagraph"/>
        <w:numPr>
          <w:ilvl w:val="0"/>
          <w:numId w:val="6"/>
        </w:numPr>
        <w:contextualSpacing/>
        <w:jc w:val="left"/>
        <w:rPr>
          <w:rFonts w:asciiTheme="majorHAnsi" w:hAnsiTheme="majorHAnsi" w:cstheme="minorHAnsi"/>
          <w:sz w:val="22"/>
          <w:szCs w:val="22"/>
          <w:u w:val="single"/>
        </w:rPr>
      </w:pPr>
      <w:r w:rsidRPr="000A0486">
        <w:rPr>
          <w:rFonts w:asciiTheme="majorHAnsi" w:hAnsiTheme="majorHAnsi" w:cstheme="minorHAnsi"/>
          <w:sz w:val="22"/>
          <w:szCs w:val="22"/>
          <w:u w:val="single"/>
        </w:rPr>
        <w:t>Abbania Region:</w:t>
      </w:r>
    </w:p>
    <w:p w14:paraId="59E11AA5" w14:textId="77777777" w:rsidR="000A0486" w:rsidRPr="000A0486" w:rsidRDefault="000A0486" w:rsidP="000A0486">
      <w:pPr>
        <w:pStyle w:val="ListParagraph"/>
        <w:numPr>
          <w:ilvl w:val="1"/>
          <w:numId w:val="6"/>
        </w:numPr>
        <w:spacing w:line="276" w:lineRule="auto"/>
        <w:contextualSpacing/>
        <w:jc w:val="left"/>
        <w:rPr>
          <w:rFonts w:asciiTheme="majorHAnsi" w:hAnsiTheme="majorHAnsi"/>
          <w:sz w:val="22"/>
          <w:szCs w:val="22"/>
        </w:rPr>
      </w:pPr>
      <w:r w:rsidRPr="000A0486">
        <w:rPr>
          <w:rFonts w:asciiTheme="majorHAnsi" w:hAnsiTheme="majorHAnsi"/>
          <w:sz w:val="22"/>
          <w:szCs w:val="22"/>
        </w:rPr>
        <w:t xml:space="preserve">Most IDP families have been displaced as a result of two separate unrelated dynamics: </w:t>
      </w:r>
    </w:p>
    <w:p w14:paraId="2BC8175A" w14:textId="77777777" w:rsidR="000A0486" w:rsidRPr="000A0486" w:rsidRDefault="000A0486" w:rsidP="000A0486">
      <w:pPr>
        <w:pStyle w:val="ListParagraph"/>
        <w:numPr>
          <w:ilvl w:val="2"/>
          <w:numId w:val="6"/>
        </w:numPr>
        <w:spacing w:line="276" w:lineRule="auto"/>
        <w:contextualSpacing/>
        <w:jc w:val="left"/>
        <w:rPr>
          <w:rFonts w:asciiTheme="majorHAnsi" w:hAnsiTheme="majorHAnsi"/>
          <w:sz w:val="22"/>
          <w:szCs w:val="22"/>
        </w:rPr>
      </w:pPr>
      <w:r w:rsidRPr="000A0486">
        <w:rPr>
          <w:rFonts w:asciiTheme="majorHAnsi" w:hAnsiTheme="majorHAnsi"/>
          <w:sz w:val="22"/>
          <w:szCs w:val="22"/>
        </w:rPr>
        <w:t>Organized Government relocation of IDPs into organized camps in Abbania</w:t>
      </w:r>
    </w:p>
    <w:p w14:paraId="3634ACF7" w14:textId="77777777" w:rsidR="000A0486" w:rsidRPr="000A0486" w:rsidRDefault="000A0486" w:rsidP="000A0486">
      <w:pPr>
        <w:pStyle w:val="ListParagraph"/>
        <w:numPr>
          <w:ilvl w:val="2"/>
          <w:numId w:val="6"/>
        </w:numPr>
        <w:spacing w:line="276" w:lineRule="auto"/>
        <w:contextualSpacing/>
        <w:jc w:val="left"/>
        <w:rPr>
          <w:rFonts w:asciiTheme="majorHAnsi" w:hAnsiTheme="majorHAnsi"/>
          <w:sz w:val="22"/>
          <w:szCs w:val="22"/>
        </w:rPr>
      </w:pPr>
      <w:r w:rsidRPr="000A0486">
        <w:rPr>
          <w:rFonts w:asciiTheme="majorHAnsi" w:hAnsiTheme="majorHAnsi"/>
          <w:sz w:val="22"/>
          <w:szCs w:val="22"/>
        </w:rPr>
        <w:t xml:space="preserve">Displacement due to the landslides in the east of </w:t>
      </w:r>
    </w:p>
    <w:p w14:paraId="1DDC4E55" w14:textId="77777777" w:rsidR="000A0486" w:rsidRPr="000A0486" w:rsidRDefault="000A0486" w:rsidP="000A0486">
      <w:pPr>
        <w:pStyle w:val="ListParagraph"/>
        <w:numPr>
          <w:ilvl w:val="1"/>
          <w:numId w:val="6"/>
        </w:numPr>
        <w:spacing w:line="276" w:lineRule="auto"/>
        <w:contextualSpacing/>
        <w:jc w:val="left"/>
        <w:rPr>
          <w:rFonts w:asciiTheme="majorHAnsi" w:hAnsiTheme="majorHAnsi"/>
          <w:sz w:val="22"/>
          <w:szCs w:val="22"/>
        </w:rPr>
      </w:pPr>
      <w:r w:rsidRPr="000A0486">
        <w:rPr>
          <w:rFonts w:asciiTheme="majorHAnsi" w:hAnsiTheme="majorHAnsi"/>
          <w:sz w:val="22"/>
          <w:szCs w:val="22"/>
        </w:rPr>
        <w:t xml:space="preserve">As per traditional Animist beliefs and tradition, extended families and communities have begun to care for children who have been separated from their primary care givers.  In some locations where entire communities have generally been displaced together, these care arrangements are being set up by pre-existing community-based women’s networks who have quickly re-mobilized where they have settled.   </w:t>
      </w:r>
    </w:p>
    <w:p w14:paraId="6CC43097" w14:textId="65FC4B5E" w:rsidR="000F1213" w:rsidRDefault="000F1213" w:rsidP="000F1213">
      <w:pPr>
        <w:pStyle w:val="ListParagraph"/>
        <w:numPr>
          <w:ilvl w:val="1"/>
          <w:numId w:val="6"/>
        </w:numPr>
        <w:spacing w:line="276" w:lineRule="auto"/>
        <w:contextualSpacing/>
        <w:jc w:val="left"/>
        <w:rPr>
          <w:rFonts w:asciiTheme="majorHAnsi" w:hAnsiTheme="majorHAnsi"/>
          <w:sz w:val="22"/>
          <w:szCs w:val="22"/>
        </w:rPr>
      </w:pPr>
      <w:r>
        <w:rPr>
          <w:rFonts w:asciiTheme="majorHAnsi" w:hAnsiTheme="majorHAnsi"/>
          <w:sz w:val="22"/>
          <w:szCs w:val="22"/>
        </w:rPr>
        <w:t>No MoSW or MoE office/R</w:t>
      </w:r>
      <w:r w:rsidR="000A0486" w:rsidRPr="000A0486">
        <w:rPr>
          <w:rFonts w:asciiTheme="majorHAnsi" w:hAnsiTheme="majorHAnsi"/>
          <w:sz w:val="22"/>
          <w:szCs w:val="22"/>
        </w:rPr>
        <w:t>epresentatives</w:t>
      </w:r>
    </w:p>
    <w:p w14:paraId="55572CAF" w14:textId="3D8904EB" w:rsidR="000F1213" w:rsidRPr="000F1213" w:rsidRDefault="000F1213" w:rsidP="000F1213">
      <w:pPr>
        <w:pStyle w:val="ListParagraph"/>
        <w:numPr>
          <w:ilvl w:val="1"/>
          <w:numId w:val="6"/>
        </w:numPr>
        <w:spacing w:line="276" w:lineRule="auto"/>
        <w:contextualSpacing/>
        <w:jc w:val="left"/>
        <w:rPr>
          <w:rFonts w:asciiTheme="majorHAnsi" w:hAnsiTheme="majorHAnsi"/>
          <w:sz w:val="22"/>
          <w:szCs w:val="22"/>
        </w:rPr>
      </w:pPr>
      <w:r w:rsidRPr="000F1213">
        <w:rPr>
          <w:rFonts w:asciiTheme="majorHAnsi" w:hAnsiTheme="majorHAnsi"/>
          <w:sz w:val="22"/>
          <w:szCs w:val="22"/>
        </w:rPr>
        <w:t>IDP/Refugee Update in Abbania</w:t>
      </w:r>
    </w:p>
    <w:p w14:paraId="0C5A2166" w14:textId="77777777" w:rsidR="000F1213" w:rsidRPr="000F1213" w:rsidRDefault="000F1213" w:rsidP="000F1213">
      <w:pPr>
        <w:numPr>
          <w:ilvl w:val="0"/>
          <w:numId w:val="8"/>
        </w:numPr>
        <w:spacing w:after="0"/>
        <w:ind w:left="1418" w:hanging="284"/>
        <w:rPr>
          <w:rFonts w:asciiTheme="majorHAnsi" w:hAnsiTheme="majorHAnsi" w:cs="Calibri"/>
          <w:u w:val="single"/>
        </w:rPr>
      </w:pPr>
      <w:r w:rsidRPr="000F1213">
        <w:rPr>
          <w:rFonts w:asciiTheme="majorHAnsi" w:hAnsiTheme="majorHAnsi" w:cs="Calibri"/>
        </w:rPr>
        <w:t>Protracted refugee situation as a result of violence and conflict in neighbouring Draskani</w:t>
      </w:r>
    </w:p>
    <w:p w14:paraId="38E8DB21" w14:textId="77777777" w:rsidR="000F1213" w:rsidRDefault="000F1213" w:rsidP="000F1213">
      <w:pPr>
        <w:numPr>
          <w:ilvl w:val="0"/>
          <w:numId w:val="8"/>
        </w:numPr>
        <w:spacing w:after="0"/>
        <w:ind w:left="1418" w:hanging="284"/>
        <w:rPr>
          <w:rFonts w:asciiTheme="majorHAnsi" w:hAnsiTheme="majorHAnsi" w:cs="Calibri"/>
        </w:rPr>
      </w:pPr>
      <w:r w:rsidRPr="000F1213">
        <w:rPr>
          <w:rFonts w:asciiTheme="majorHAnsi" w:hAnsiTheme="majorHAnsi" w:cs="Calibri"/>
        </w:rPr>
        <w:t>250,000 refugees have been registered by UNHCR in Abbania, with 12,000 more expected to arrive in the next 3 months</w:t>
      </w:r>
    </w:p>
    <w:p w14:paraId="7A052EDB" w14:textId="582B4B2B" w:rsidR="000F1213" w:rsidRPr="000F1213" w:rsidRDefault="000F1213" w:rsidP="000F1213">
      <w:pPr>
        <w:numPr>
          <w:ilvl w:val="0"/>
          <w:numId w:val="8"/>
        </w:numPr>
        <w:spacing w:after="0"/>
        <w:ind w:left="1418" w:hanging="284"/>
        <w:rPr>
          <w:rFonts w:asciiTheme="majorHAnsi" w:hAnsiTheme="majorHAnsi" w:cs="Calibri"/>
        </w:rPr>
      </w:pPr>
      <w:r w:rsidRPr="000F1213">
        <w:rPr>
          <w:rFonts w:asciiTheme="majorHAnsi" w:hAnsiTheme="majorHAnsi" w:cs="Calibri"/>
        </w:rPr>
        <w:t>74% refugees are women and children</w:t>
      </w:r>
    </w:p>
    <w:p w14:paraId="33E38969" w14:textId="77777777" w:rsidR="000F1213" w:rsidRPr="000F1213" w:rsidRDefault="000F1213" w:rsidP="000F1213">
      <w:pPr>
        <w:numPr>
          <w:ilvl w:val="0"/>
          <w:numId w:val="8"/>
        </w:numPr>
        <w:spacing w:after="0"/>
        <w:ind w:left="1418" w:hanging="284"/>
        <w:rPr>
          <w:rFonts w:asciiTheme="majorHAnsi" w:hAnsiTheme="majorHAnsi" w:cs="Calibri"/>
        </w:rPr>
      </w:pPr>
      <w:r w:rsidRPr="000F1213">
        <w:rPr>
          <w:rFonts w:asciiTheme="majorHAnsi" w:hAnsiTheme="majorHAnsi" w:cs="Calibri"/>
        </w:rPr>
        <w:t>The majority of refugees are registered and accessing services in Abbania town</w:t>
      </w:r>
    </w:p>
    <w:p w14:paraId="10063013" w14:textId="77777777" w:rsidR="000F1213" w:rsidRDefault="000F1213" w:rsidP="000F1213">
      <w:pPr>
        <w:numPr>
          <w:ilvl w:val="0"/>
          <w:numId w:val="8"/>
        </w:numPr>
        <w:spacing w:after="0"/>
        <w:ind w:left="1418" w:hanging="284"/>
        <w:rPr>
          <w:rFonts w:asciiTheme="majorHAnsi" w:hAnsiTheme="majorHAnsi" w:cs="Calibri"/>
        </w:rPr>
      </w:pPr>
      <w:r w:rsidRPr="000F1213">
        <w:rPr>
          <w:rFonts w:asciiTheme="majorHAnsi" w:hAnsiTheme="majorHAnsi" w:cs="Calibri"/>
        </w:rPr>
        <w:t>A smaller number are accessing protection and assistance in a UNHCR refugee camp that has been established 40km north of Abbania town (an area that is remote and under-developed economically)</w:t>
      </w:r>
    </w:p>
    <w:p w14:paraId="22421572" w14:textId="586EFF60" w:rsidR="000F1213" w:rsidRPr="000F1213" w:rsidRDefault="000F1213" w:rsidP="000F1213">
      <w:pPr>
        <w:numPr>
          <w:ilvl w:val="0"/>
          <w:numId w:val="8"/>
        </w:numPr>
        <w:spacing w:after="0"/>
        <w:ind w:left="1418" w:hanging="284"/>
        <w:rPr>
          <w:rFonts w:asciiTheme="majorHAnsi" w:hAnsiTheme="majorHAnsi" w:cs="Calibri"/>
        </w:rPr>
      </w:pPr>
      <w:r w:rsidRPr="000F1213">
        <w:rPr>
          <w:rFonts w:asciiTheme="majorHAnsi" w:hAnsiTheme="majorHAnsi" w:cs="Calibri"/>
        </w:rPr>
        <w:t>The camp currently has 9,000 refugees and is being expanded to accommodate a further 11,000 in the next 3 months</w:t>
      </w:r>
    </w:p>
    <w:p w14:paraId="5C3D88C2" w14:textId="77777777" w:rsidR="000F1213" w:rsidRPr="000F1213" w:rsidRDefault="000F1213" w:rsidP="000F1213">
      <w:pPr>
        <w:numPr>
          <w:ilvl w:val="0"/>
          <w:numId w:val="8"/>
        </w:numPr>
        <w:spacing w:after="0"/>
        <w:ind w:left="1418" w:hanging="284"/>
        <w:rPr>
          <w:rFonts w:asciiTheme="majorHAnsi" w:hAnsiTheme="majorHAnsi" w:cs="Calibri"/>
        </w:rPr>
      </w:pPr>
      <w:r w:rsidRPr="000F1213">
        <w:rPr>
          <w:rFonts w:asciiTheme="majorHAnsi" w:hAnsiTheme="majorHAnsi" w:cs="Calibri"/>
        </w:rPr>
        <w:t>Refugees are living in relative peace with host communities, partly due to their shared ethnicity and language (Abbanian), and religion (Annimism)</w:t>
      </w:r>
    </w:p>
    <w:p w14:paraId="3FB46C38" w14:textId="77777777" w:rsidR="000F1213" w:rsidRPr="000F1213" w:rsidRDefault="000F1213" w:rsidP="000F1213">
      <w:pPr>
        <w:numPr>
          <w:ilvl w:val="0"/>
          <w:numId w:val="8"/>
        </w:numPr>
        <w:spacing w:after="0"/>
        <w:ind w:left="1418" w:hanging="284"/>
        <w:rPr>
          <w:rFonts w:asciiTheme="majorHAnsi" w:hAnsiTheme="majorHAnsi" w:cs="Calibri"/>
        </w:rPr>
      </w:pPr>
      <w:r w:rsidRPr="000F1213">
        <w:rPr>
          <w:rFonts w:asciiTheme="majorHAnsi" w:hAnsiTheme="majorHAnsi" w:cs="Calibri"/>
        </w:rPr>
        <w:t>The host communities in Abbania Region have also been affected by the situation in Genesis, including the arrival of IDPs fleeing the situation elsewhere in the country:</w:t>
      </w:r>
    </w:p>
    <w:p w14:paraId="4EDFD549" w14:textId="77777777" w:rsidR="000F1213" w:rsidRDefault="000F1213" w:rsidP="000F1213">
      <w:pPr>
        <w:numPr>
          <w:ilvl w:val="0"/>
          <w:numId w:val="8"/>
        </w:numPr>
        <w:spacing w:after="0"/>
        <w:ind w:left="1418" w:hanging="284"/>
        <w:rPr>
          <w:rFonts w:asciiTheme="majorHAnsi" w:hAnsiTheme="majorHAnsi" w:cs="Calibri"/>
        </w:rPr>
      </w:pPr>
      <w:r w:rsidRPr="000F1213">
        <w:rPr>
          <w:rFonts w:asciiTheme="majorHAnsi" w:hAnsiTheme="majorHAnsi" w:cs="Calibri"/>
        </w:rPr>
        <w:t>There are approximately 400,000 internally displaced persons (IDP) in Abbania</w:t>
      </w:r>
    </w:p>
    <w:p w14:paraId="4751C363" w14:textId="77777777" w:rsidR="000F1213" w:rsidRDefault="000F1213" w:rsidP="000F1213">
      <w:pPr>
        <w:numPr>
          <w:ilvl w:val="0"/>
          <w:numId w:val="8"/>
        </w:numPr>
        <w:spacing w:after="0"/>
        <w:ind w:left="1418" w:hanging="284"/>
        <w:rPr>
          <w:rFonts w:asciiTheme="majorHAnsi" w:hAnsiTheme="majorHAnsi" w:cs="Calibri"/>
        </w:rPr>
      </w:pPr>
      <w:r w:rsidRPr="000F1213">
        <w:rPr>
          <w:rFonts w:asciiTheme="majorHAnsi" w:hAnsiTheme="majorHAnsi" w:cs="Calibri"/>
        </w:rPr>
        <w:t>At least 50% IDPs are children</w:t>
      </w:r>
    </w:p>
    <w:p w14:paraId="5D6D19DD" w14:textId="26C178F2" w:rsidR="000F1213" w:rsidRPr="000F1213" w:rsidRDefault="000F1213" w:rsidP="000F1213">
      <w:pPr>
        <w:numPr>
          <w:ilvl w:val="0"/>
          <w:numId w:val="8"/>
        </w:numPr>
        <w:spacing w:after="0"/>
        <w:ind w:left="1418" w:hanging="284"/>
        <w:rPr>
          <w:rFonts w:asciiTheme="majorHAnsi" w:hAnsiTheme="majorHAnsi" w:cs="Calibri"/>
        </w:rPr>
      </w:pPr>
      <w:r w:rsidRPr="000F1213">
        <w:rPr>
          <w:rFonts w:asciiTheme="majorHAnsi" w:hAnsiTheme="majorHAnsi" w:cs="Calibri"/>
        </w:rPr>
        <w:t>The number of separated and unaccompanied IDP children is unknown</w:t>
      </w:r>
    </w:p>
    <w:p w14:paraId="3D861A89" w14:textId="77777777" w:rsidR="000F1213" w:rsidRPr="000F1213" w:rsidRDefault="000F1213" w:rsidP="000F1213">
      <w:pPr>
        <w:numPr>
          <w:ilvl w:val="0"/>
          <w:numId w:val="8"/>
        </w:numPr>
        <w:spacing w:after="0"/>
        <w:ind w:left="1418" w:hanging="284"/>
        <w:rPr>
          <w:rFonts w:asciiTheme="majorHAnsi" w:hAnsiTheme="majorHAnsi" w:cs="Calibri"/>
        </w:rPr>
      </w:pPr>
      <w:r w:rsidRPr="000F1213">
        <w:rPr>
          <w:rFonts w:asciiTheme="majorHAnsi" w:hAnsiTheme="majorHAnsi" w:cs="Calibri"/>
        </w:rPr>
        <w:t>UNHCR is responsible for the refugee response operation in Genesis and also plays a role in responding to the IDP situation</w:t>
      </w:r>
    </w:p>
    <w:p w14:paraId="5CB4DF25" w14:textId="77777777" w:rsidR="000F1213" w:rsidRPr="000F1213" w:rsidRDefault="000F1213" w:rsidP="000F1213">
      <w:pPr>
        <w:numPr>
          <w:ilvl w:val="0"/>
          <w:numId w:val="9"/>
        </w:numPr>
        <w:spacing w:after="0"/>
        <w:ind w:left="1418" w:hanging="284"/>
        <w:rPr>
          <w:rFonts w:asciiTheme="majorHAnsi" w:hAnsiTheme="majorHAnsi" w:cs="Calibri"/>
        </w:rPr>
      </w:pPr>
      <w:r w:rsidRPr="000F1213">
        <w:rPr>
          <w:rFonts w:asciiTheme="majorHAnsi" w:hAnsiTheme="majorHAnsi" w:cs="Calibri"/>
        </w:rPr>
        <w:t xml:space="preserve">The Government of Genesis is vocal in its support for the refugees from Draskani, however the political situation in the Abbania region means that the government is unwilling and unable to offer direct protection and assistance to refugees </w:t>
      </w:r>
    </w:p>
    <w:p w14:paraId="745754A5" w14:textId="03997C3C" w:rsidR="000F1213" w:rsidRPr="000F1213" w:rsidRDefault="000F1213" w:rsidP="000F1213">
      <w:pPr>
        <w:numPr>
          <w:ilvl w:val="0"/>
          <w:numId w:val="9"/>
        </w:numPr>
        <w:spacing w:after="0"/>
        <w:ind w:left="1418" w:hanging="284"/>
        <w:rPr>
          <w:rFonts w:asciiTheme="majorHAnsi" w:hAnsiTheme="majorHAnsi" w:cs="Calibri"/>
        </w:rPr>
      </w:pPr>
      <w:r w:rsidRPr="000F1213">
        <w:rPr>
          <w:rFonts w:asciiTheme="majorHAnsi" w:hAnsiTheme="majorHAnsi" w:cs="Calibri"/>
        </w:rPr>
        <w:t>UNHCR coordinates and communicates effectively with the Government of Genesis, and with the local authorities and leaders in Abbania</w:t>
      </w:r>
    </w:p>
    <w:p w14:paraId="06A39EE9" w14:textId="77777777" w:rsidR="000A0486" w:rsidRPr="000F1213" w:rsidRDefault="000A0486" w:rsidP="000A0486">
      <w:pPr>
        <w:spacing w:after="0"/>
        <w:ind w:left="360"/>
        <w:jc w:val="both"/>
        <w:rPr>
          <w:rFonts w:asciiTheme="majorHAnsi" w:hAnsiTheme="majorHAnsi" w:cstheme="minorHAnsi"/>
        </w:rPr>
      </w:pPr>
    </w:p>
    <w:p w14:paraId="4BD9DB49" w14:textId="52CF8F90" w:rsidR="00FA07F3" w:rsidRPr="00E96813" w:rsidRDefault="00FA07F3">
      <w:pPr>
        <w:rPr>
          <w:rFonts w:asciiTheme="majorHAnsi" w:hAnsiTheme="majorHAnsi" w:cstheme="minorHAnsi"/>
          <w:b/>
          <w:lang w:val="en-GB"/>
        </w:rPr>
      </w:pPr>
    </w:p>
    <w:sectPr w:rsidR="00FA07F3" w:rsidRPr="00E96813">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DB9449" w14:textId="77777777" w:rsidR="000A0486" w:rsidRDefault="000A0486" w:rsidP="000A0486">
      <w:pPr>
        <w:spacing w:after="0" w:line="240" w:lineRule="auto"/>
      </w:pPr>
      <w:r>
        <w:separator/>
      </w:r>
    </w:p>
  </w:endnote>
  <w:endnote w:type="continuationSeparator" w:id="0">
    <w:p w14:paraId="6F029AAD" w14:textId="77777777" w:rsidR="000A0486" w:rsidRDefault="000A0486" w:rsidP="000A0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rial Narrow">
    <w:panose1 w:val="020B0506020202030204"/>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6782443"/>
      <w:docPartObj>
        <w:docPartGallery w:val="Page Numbers (Bottom of Page)"/>
        <w:docPartUnique/>
      </w:docPartObj>
    </w:sdtPr>
    <w:sdtEndPr>
      <w:rPr>
        <w:noProof/>
      </w:rPr>
    </w:sdtEndPr>
    <w:sdtContent>
      <w:p w14:paraId="3AC1AB90" w14:textId="77777777" w:rsidR="004303C1" w:rsidRDefault="000A0486">
        <w:pPr>
          <w:pStyle w:val="Footer"/>
          <w:jc w:val="right"/>
        </w:pPr>
        <w:r>
          <w:fldChar w:fldCharType="begin"/>
        </w:r>
        <w:r>
          <w:instrText xml:space="preserve"> PAGE   \* MERGEFORMAT </w:instrText>
        </w:r>
        <w:r>
          <w:fldChar w:fldCharType="separate"/>
        </w:r>
        <w:r w:rsidR="00E96813">
          <w:rPr>
            <w:noProof/>
          </w:rPr>
          <w:t>1</w:t>
        </w:r>
        <w:r>
          <w:rPr>
            <w:noProof/>
          </w:rPr>
          <w:fldChar w:fldCharType="end"/>
        </w:r>
      </w:p>
    </w:sdtContent>
  </w:sdt>
  <w:p w14:paraId="32DF86EF" w14:textId="77777777" w:rsidR="004303C1" w:rsidRDefault="00E9681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BE59E1" w14:textId="77777777" w:rsidR="000A0486" w:rsidRDefault="000A0486" w:rsidP="000A0486">
      <w:pPr>
        <w:spacing w:after="0" w:line="240" w:lineRule="auto"/>
      </w:pPr>
      <w:r>
        <w:separator/>
      </w:r>
    </w:p>
  </w:footnote>
  <w:footnote w:type="continuationSeparator" w:id="0">
    <w:p w14:paraId="25D2876B" w14:textId="77777777" w:rsidR="000A0486" w:rsidRDefault="000A0486" w:rsidP="000A0486">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07880"/>
    <w:multiLevelType w:val="hybridMultilevel"/>
    <w:tmpl w:val="E5D49D0A"/>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1AC1A1D"/>
    <w:multiLevelType w:val="hybridMultilevel"/>
    <w:tmpl w:val="EFE831FC"/>
    <w:lvl w:ilvl="0" w:tplc="356266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862934"/>
    <w:multiLevelType w:val="hybridMultilevel"/>
    <w:tmpl w:val="BF1E6F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FD03528"/>
    <w:multiLevelType w:val="hybridMultilevel"/>
    <w:tmpl w:val="E626BC0A"/>
    <w:lvl w:ilvl="0" w:tplc="356266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B0F1B83"/>
    <w:multiLevelType w:val="hybridMultilevel"/>
    <w:tmpl w:val="392E1136"/>
    <w:lvl w:ilvl="0" w:tplc="A57E6FF6">
      <w:start w:val="1"/>
      <w:numFmt w:val="bullet"/>
      <w:pStyle w:val="ListParagraph"/>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Symbo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Symbol"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673B7EE6"/>
    <w:multiLevelType w:val="hybridMultilevel"/>
    <w:tmpl w:val="0EAAE6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674466D5"/>
    <w:multiLevelType w:val="hybridMultilevel"/>
    <w:tmpl w:val="9E221822"/>
    <w:lvl w:ilvl="0" w:tplc="356266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727C5231"/>
    <w:multiLevelType w:val="hybridMultilevel"/>
    <w:tmpl w:val="D47298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7E097E1D"/>
    <w:multiLevelType w:val="hybridMultilevel"/>
    <w:tmpl w:val="B268C01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20" w:hanging="360"/>
      </w:pPr>
      <w:rPr>
        <w:rFonts w:ascii="Courier New" w:hAnsi="Courier New" w:cs="Courier New" w:hint="default"/>
      </w:rPr>
    </w:lvl>
    <w:lvl w:ilvl="2" w:tplc="0C090005">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num w:numId="1">
    <w:abstractNumId w:val="4"/>
  </w:num>
  <w:num w:numId="2">
    <w:abstractNumId w:val="7"/>
  </w:num>
  <w:num w:numId="3">
    <w:abstractNumId w:val="1"/>
  </w:num>
  <w:num w:numId="4">
    <w:abstractNumId w:val="3"/>
  </w:num>
  <w:num w:numId="5">
    <w:abstractNumId w:val="6"/>
  </w:num>
  <w:num w:numId="6">
    <w:abstractNumId w:val="8"/>
  </w:num>
  <w:num w:numId="7">
    <w:abstractNumId w:val="0"/>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486"/>
    <w:rsid w:val="000A0486"/>
    <w:rsid w:val="000F1213"/>
    <w:rsid w:val="0014644F"/>
    <w:rsid w:val="00846961"/>
    <w:rsid w:val="00C44584"/>
    <w:rsid w:val="00E96813"/>
    <w:rsid w:val="00FA07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F40B9F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486"/>
    <w:pPr>
      <w:spacing w:after="200" w:line="276" w:lineRule="auto"/>
    </w:pPr>
    <w:rPr>
      <w:rFonts w:ascii="Calibri" w:eastAsia="Times New Roman"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TOC1"/>
    <w:next w:val="TOC1"/>
    <w:autoRedefine/>
    <w:qFormat/>
    <w:rsid w:val="00846961"/>
    <w:pPr>
      <w:spacing w:before="120" w:after="0"/>
    </w:pPr>
    <w:rPr>
      <w:rFonts w:asciiTheme="majorHAnsi" w:hAnsiTheme="majorHAnsi"/>
      <w:b/>
      <w:color w:val="17365D" w:themeColor="text2" w:themeShade="BF"/>
      <w:sz w:val="32"/>
      <w:lang w:val="da-DK" w:eastAsia="da-DK"/>
    </w:rPr>
  </w:style>
  <w:style w:type="paragraph" w:styleId="TOC1">
    <w:name w:val="toc 1"/>
    <w:basedOn w:val="Normal"/>
    <w:next w:val="Normal"/>
    <w:autoRedefine/>
    <w:uiPriority w:val="39"/>
    <w:semiHidden/>
    <w:unhideWhenUsed/>
    <w:rsid w:val="00846961"/>
    <w:pPr>
      <w:spacing w:after="100"/>
    </w:pPr>
  </w:style>
  <w:style w:type="paragraph" w:styleId="ListParagraph">
    <w:name w:val="List Paragraph"/>
    <w:basedOn w:val="Normal"/>
    <w:uiPriority w:val="34"/>
    <w:qFormat/>
    <w:rsid w:val="000A0486"/>
    <w:pPr>
      <w:numPr>
        <w:numId w:val="1"/>
      </w:numPr>
      <w:spacing w:after="0" w:line="240" w:lineRule="auto"/>
      <w:jc w:val="both"/>
    </w:pPr>
    <w:rPr>
      <w:rFonts w:ascii="Arial Narrow" w:eastAsia="Calibri" w:hAnsi="Arial Narrow" w:cs="Calibri"/>
      <w:sz w:val="24"/>
      <w:szCs w:val="24"/>
      <w:lang w:val="en-AU"/>
    </w:rPr>
  </w:style>
  <w:style w:type="paragraph" w:styleId="Footer">
    <w:name w:val="footer"/>
    <w:basedOn w:val="Normal"/>
    <w:link w:val="FooterChar"/>
    <w:uiPriority w:val="99"/>
    <w:unhideWhenUsed/>
    <w:rsid w:val="000A04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0486"/>
    <w:rPr>
      <w:rFonts w:ascii="Calibri" w:eastAsia="Times New Roman" w:hAnsi="Calibri" w:cs="Times New Roman"/>
      <w:sz w:val="22"/>
      <w:szCs w:val="22"/>
    </w:rPr>
  </w:style>
  <w:style w:type="paragraph" w:customStyle="1" w:styleId="Standard">
    <w:name w:val="Standard"/>
    <w:rsid w:val="000A0486"/>
    <w:pPr>
      <w:suppressAutoHyphens/>
      <w:autoSpaceDN w:val="0"/>
      <w:spacing w:before="200" w:line="276" w:lineRule="auto"/>
      <w:textAlignment w:val="baseline"/>
    </w:pPr>
    <w:rPr>
      <w:rFonts w:ascii="Calibri" w:eastAsia="Arial Unicode MS" w:hAnsi="Calibri" w:cs="Calibri"/>
      <w:kern w:val="3"/>
      <w:sz w:val="22"/>
      <w:szCs w:val="22"/>
      <w:lang w:val="en-GB"/>
    </w:rPr>
  </w:style>
  <w:style w:type="paragraph" w:styleId="FootnoteText">
    <w:name w:val="footnote text"/>
    <w:basedOn w:val="Normal"/>
    <w:link w:val="FootnoteTextChar"/>
    <w:uiPriority w:val="99"/>
    <w:semiHidden/>
    <w:unhideWhenUsed/>
    <w:rsid w:val="000A0486"/>
    <w:pPr>
      <w:spacing w:after="0" w:line="240" w:lineRule="auto"/>
    </w:pPr>
    <w:rPr>
      <w:rFonts w:ascii="Times New Roman" w:eastAsiaTheme="minorHAnsi" w:hAnsi="Times New Roman"/>
      <w:sz w:val="20"/>
      <w:szCs w:val="20"/>
      <w:lang w:val="en-GB"/>
    </w:rPr>
  </w:style>
  <w:style w:type="character" w:customStyle="1" w:styleId="FootnoteTextChar">
    <w:name w:val="Footnote Text Char"/>
    <w:basedOn w:val="DefaultParagraphFont"/>
    <w:link w:val="FootnoteText"/>
    <w:uiPriority w:val="99"/>
    <w:semiHidden/>
    <w:rsid w:val="000A0486"/>
    <w:rPr>
      <w:rFonts w:ascii="Times New Roman" w:eastAsiaTheme="minorHAnsi" w:hAnsi="Times New Roman" w:cs="Times New Roman"/>
      <w:sz w:val="20"/>
      <w:szCs w:val="20"/>
      <w:lang w:val="en-GB"/>
    </w:rPr>
  </w:style>
  <w:style w:type="character" w:styleId="FootnoteReference">
    <w:name w:val="footnote reference"/>
    <w:basedOn w:val="DefaultParagraphFont"/>
    <w:uiPriority w:val="99"/>
    <w:semiHidden/>
    <w:unhideWhenUsed/>
    <w:rsid w:val="000A0486"/>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486"/>
    <w:pPr>
      <w:spacing w:after="200" w:line="276" w:lineRule="auto"/>
    </w:pPr>
    <w:rPr>
      <w:rFonts w:ascii="Calibri" w:eastAsia="Times New Roman"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TOC1"/>
    <w:next w:val="TOC1"/>
    <w:autoRedefine/>
    <w:qFormat/>
    <w:rsid w:val="00846961"/>
    <w:pPr>
      <w:spacing w:before="120" w:after="0"/>
    </w:pPr>
    <w:rPr>
      <w:rFonts w:asciiTheme="majorHAnsi" w:hAnsiTheme="majorHAnsi"/>
      <w:b/>
      <w:color w:val="17365D" w:themeColor="text2" w:themeShade="BF"/>
      <w:sz w:val="32"/>
      <w:lang w:val="da-DK" w:eastAsia="da-DK"/>
    </w:rPr>
  </w:style>
  <w:style w:type="paragraph" w:styleId="TOC1">
    <w:name w:val="toc 1"/>
    <w:basedOn w:val="Normal"/>
    <w:next w:val="Normal"/>
    <w:autoRedefine/>
    <w:uiPriority w:val="39"/>
    <w:semiHidden/>
    <w:unhideWhenUsed/>
    <w:rsid w:val="00846961"/>
    <w:pPr>
      <w:spacing w:after="100"/>
    </w:pPr>
  </w:style>
  <w:style w:type="paragraph" w:styleId="ListParagraph">
    <w:name w:val="List Paragraph"/>
    <w:basedOn w:val="Normal"/>
    <w:uiPriority w:val="34"/>
    <w:qFormat/>
    <w:rsid w:val="000A0486"/>
    <w:pPr>
      <w:numPr>
        <w:numId w:val="1"/>
      </w:numPr>
      <w:spacing w:after="0" w:line="240" w:lineRule="auto"/>
      <w:jc w:val="both"/>
    </w:pPr>
    <w:rPr>
      <w:rFonts w:ascii="Arial Narrow" w:eastAsia="Calibri" w:hAnsi="Arial Narrow" w:cs="Calibri"/>
      <w:sz w:val="24"/>
      <w:szCs w:val="24"/>
      <w:lang w:val="en-AU"/>
    </w:rPr>
  </w:style>
  <w:style w:type="paragraph" w:styleId="Footer">
    <w:name w:val="footer"/>
    <w:basedOn w:val="Normal"/>
    <w:link w:val="FooterChar"/>
    <w:uiPriority w:val="99"/>
    <w:unhideWhenUsed/>
    <w:rsid w:val="000A04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0486"/>
    <w:rPr>
      <w:rFonts w:ascii="Calibri" w:eastAsia="Times New Roman" w:hAnsi="Calibri" w:cs="Times New Roman"/>
      <w:sz w:val="22"/>
      <w:szCs w:val="22"/>
    </w:rPr>
  </w:style>
  <w:style w:type="paragraph" w:customStyle="1" w:styleId="Standard">
    <w:name w:val="Standard"/>
    <w:rsid w:val="000A0486"/>
    <w:pPr>
      <w:suppressAutoHyphens/>
      <w:autoSpaceDN w:val="0"/>
      <w:spacing w:before="200" w:line="276" w:lineRule="auto"/>
      <w:textAlignment w:val="baseline"/>
    </w:pPr>
    <w:rPr>
      <w:rFonts w:ascii="Calibri" w:eastAsia="Arial Unicode MS" w:hAnsi="Calibri" w:cs="Calibri"/>
      <w:kern w:val="3"/>
      <w:sz w:val="22"/>
      <w:szCs w:val="22"/>
      <w:lang w:val="en-GB"/>
    </w:rPr>
  </w:style>
  <w:style w:type="paragraph" w:styleId="FootnoteText">
    <w:name w:val="footnote text"/>
    <w:basedOn w:val="Normal"/>
    <w:link w:val="FootnoteTextChar"/>
    <w:uiPriority w:val="99"/>
    <w:semiHidden/>
    <w:unhideWhenUsed/>
    <w:rsid w:val="000A0486"/>
    <w:pPr>
      <w:spacing w:after="0" w:line="240" w:lineRule="auto"/>
    </w:pPr>
    <w:rPr>
      <w:rFonts w:ascii="Times New Roman" w:eastAsiaTheme="minorHAnsi" w:hAnsi="Times New Roman"/>
      <w:sz w:val="20"/>
      <w:szCs w:val="20"/>
      <w:lang w:val="en-GB"/>
    </w:rPr>
  </w:style>
  <w:style w:type="character" w:customStyle="1" w:styleId="FootnoteTextChar">
    <w:name w:val="Footnote Text Char"/>
    <w:basedOn w:val="DefaultParagraphFont"/>
    <w:link w:val="FootnoteText"/>
    <w:uiPriority w:val="99"/>
    <w:semiHidden/>
    <w:rsid w:val="000A0486"/>
    <w:rPr>
      <w:rFonts w:ascii="Times New Roman" w:eastAsiaTheme="minorHAnsi" w:hAnsi="Times New Roman" w:cs="Times New Roman"/>
      <w:sz w:val="20"/>
      <w:szCs w:val="20"/>
      <w:lang w:val="en-GB"/>
    </w:rPr>
  </w:style>
  <w:style w:type="character" w:styleId="FootnoteReference">
    <w:name w:val="footnote reference"/>
    <w:basedOn w:val="DefaultParagraphFont"/>
    <w:uiPriority w:val="99"/>
    <w:semiHidden/>
    <w:unhideWhenUsed/>
    <w:rsid w:val="000A04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1058</Words>
  <Characters>6032</Characters>
  <Application>Microsoft Macintosh Word</Application>
  <DocSecurity>0</DocSecurity>
  <Lines>50</Lines>
  <Paragraphs>14</Paragraphs>
  <ScaleCrop>false</ScaleCrop>
  <Company/>
  <LinksUpToDate>false</LinksUpToDate>
  <CharactersWithSpaces>7076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Lim Bertrand</dc:creator>
  <cp:keywords/>
  <dc:description/>
  <cp:lastModifiedBy>Sara Lim Bertrand</cp:lastModifiedBy>
  <cp:revision>4</cp:revision>
  <dcterms:created xsi:type="dcterms:W3CDTF">2013-09-13T17:19:00Z</dcterms:created>
  <dcterms:modified xsi:type="dcterms:W3CDTF">2013-09-15T14:41:00Z</dcterms:modified>
</cp:coreProperties>
</file>