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E38" w:rsidRPr="009A50F9" w:rsidRDefault="0054673D" w:rsidP="00D66F25">
      <w:pPr>
        <w:tabs>
          <w:tab w:val="left" w:pos="8145"/>
        </w:tabs>
        <w:spacing w:after="0"/>
        <w:jc w:val="both"/>
        <w:rPr>
          <w:rFonts w:cstheme="majorBidi"/>
        </w:rPr>
      </w:pPr>
      <w:r w:rsidRPr="009A50F9">
        <w:rPr>
          <w:rFonts w:cstheme="majorBidi"/>
        </w:rPr>
        <w:tab/>
      </w:r>
    </w:p>
    <w:p w:rsidR="00E03E38" w:rsidRPr="009A50F9" w:rsidRDefault="00E03E38" w:rsidP="00D66F25">
      <w:pPr>
        <w:tabs>
          <w:tab w:val="left" w:pos="8145"/>
        </w:tabs>
        <w:spacing w:after="0"/>
        <w:jc w:val="both"/>
        <w:rPr>
          <w:rFonts w:cstheme="majorBidi"/>
        </w:rPr>
      </w:pPr>
    </w:p>
    <w:p w:rsidR="001452BB" w:rsidRPr="009A50F9" w:rsidRDefault="001452BB" w:rsidP="00D66F25">
      <w:pPr>
        <w:tabs>
          <w:tab w:val="left" w:pos="8145"/>
        </w:tabs>
        <w:spacing w:after="0"/>
        <w:jc w:val="both"/>
        <w:rPr>
          <w:rFonts w:cstheme="majorBidi"/>
        </w:rPr>
      </w:pPr>
    </w:p>
    <w:p w:rsidR="00E03E38" w:rsidRPr="009A50F9" w:rsidRDefault="00E03E38" w:rsidP="00D66F25">
      <w:pPr>
        <w:tabs>
          <w:tab w:val="left" w:pos="8145"/>
        </w:tabs>
        <w:spacing w:after="0"/>
        <w:jc w:val="both"/>
        <w:rPr>
          <w:rFonts w:cstheme="majorBidi"/>
        </w:rPr>
      </w:pPr>
    </w:p>
    <w:p w:rsidR="001452BB" w:rsidRPr="009A50F9" w:rsidRDefault="001452BB" w:rsidP="00D66F25">
      <w:pPr>
        <w:tabs>
          <w:tab w:val="left" w:pos="8145"/>
        </w:tabs>
        <w:spacing w:after="0"/>
        <w:jc w:val="both"/>
        <w:rPr>
          <w:rFonts w:cstheme="majorBidi"/>
        </w:rPr>
      </w:pPr>
    </w:p>
    <w:p w:rsidR="00A157CD" w:rsidRPr="009A50F9" w:rsidRDefault="00A157CD" w:rsidP="00D66F25">
      <w:pPr>
        <w:tabs>
          <w:tab w:val="left" w:pos="8145"/>
        </w:tabs>
        <w:spacing w:after="0"/>
        <w:jc w:val="both"/>
        <w:rPr>
          <w:rFonts w:cstheme="majorBidi"/>
        </w:rPr>
      </w:pPr>
    </w:p>
    <w:p w:rsidR="0087264E" w:rsidRPr="009A50F9" w:rsidRDefault="0087264E" w:rsidP="00D66F25">
      <w:pPr>
        <w:tabs>
          <w:tab w:val="left" w:pos="8145"/>
        </w:tabs>
        <w:spacing w:after="0"/>
        <w:jc w:val="both"/>
        <w:rPr>
          <w:rFonts w:cstheme="majorBidi"/>
        </w:rPr>
      </w:pPr>
    </w:p>
    <w:p w:rsidR="00B92FB1" w:rsidRPr="009A50F9" w:rsidRDefault="00B92FB1" w:rsidP="00D66F25">
      <w:pPr>
        <w:tabs>
          <w:tab w:val="left" w:pos="8145"/>
        </w:tabs>
        <w:spacing w:after="0"/>
        <w:jc w:val="both"/>
        <w:rPr>
          <w:rFonts w:cstheme="majorBidi"/>
        </w:rPr>
      </w:pPr>
    </w:p>
    <w:p w:rsidR="00E152F5" w:rsidRPr="009A50F9" w:rsidRDefault="00E152F5" w:rsidP="00D66F25">
      <w:pPr>
        <w:spacing w:after="120"/>
        <w:ind w:left="1440" w:right="-576"/>
        <w:jc w:val="both"/>
        <w:rPr>
          <w:rFonts w:cstheme="majorBidi"/>
        </w:rPr>
      </w:pPr>
    </w:p>
    <w:p w:rsidR="00E152F5" w:rsidRPr="009A50F9" w:rsidRDefault="00E152F5" w:rsidP="00D66F25">
      <w:pPr>
        <w:spacing w:after="120"/>
        <w:ind w:left="1440" w:right="-576"/>
        <w:jc w:val="both"/>
        <w:rPr>
          <w:rFonts w:cstheme="majorBidi"/>
        </w:rPr>
      </w:pPr>
    </w:p>
    <w:p w:rsidR="00E152F5" w:rsidRPr="009A50F9" w:rsidRDefault="00E152F5" w:rsidP="00D66F25">
      <w:pPr>
        <w:spacing w:after="120"/>
        <w:ind w:left="1440" w:right="-576"/>
        <w:jc w:val="both"/>
        <w:rPr>
          <w:rFonts w:cstheme="majorBidi"/>
        </w:rPr>
      </w:pPr>
    </w:p>
    <w:p w:rsidR="00E152F5" w:rsidRPr="009A50F9" w:rsidRDefault="00E152F5" w:rsidP="00343052">
      <w:pPr>
        <w:spacing w:after="120"/>
        <w:ind w:right="-576"/>
        <w:jc w:val="center"/>
        <w:rPr>
          <w:rFonts w:cstheme="majorBidi"/>
        </w:rPr>
      </w:pPr>
    </w:p>
    <w:p w:rsidR="00207046" w:rsidRPr="009A50F9" w:rsidRDefault="00207046" w:rsidP="00343052">
      <w:pPr>
        <w:spacing w:after="120"/>
        <w:ind w:right="-576"/>
        <w:jc w:val="center"/>
        <w:rPr>
          <w:rFonts w:cstheme="majorBidi"/>
          <w:b/>
          <w:bCs/>
          <w:color w:val="1F497D" w:themeColor="text2"/>
          <w:sz w:val="96"/>
          <w:szCs w:val="96"/>
          <w:u w:val="single"/>
        </w:rPr>
      </w:pPr>
      <w:r w:rsidRPr="009A50F9">
        <w:rPr>
          <w:rFonts w:cstheme="majorBidi"/>
          <w:b/>
          <w:bCs/>
          <w:color w:val="1F497D" w:themeColor="text2"/>
          <w:sz w:val="96"/>
          <w:szCs w:val="96"/>
          <w:u w:val="single"/>
        </w:rPr>
        <w:t>Desk Review</w:t>
      </w:r>
    </w:p>
    <w:p w:rsidR="0089645C" w:rsidRPr="009A50F9" w:rsidRDefault="005922FC" w:rsidP="00343052">
      <w:pPr>
        <w:spacing w:after="120"/>
        <w:ind w:right="-576"/>
        <w:jc w:val="center"/>
        <w:rPr>
          <w:rFonts w:cstheme="majorBidi"/>
          <w:color w:val="1F497D" w:themeColor="text2"/>
          <w:sz w:val="52"/>
          <w:szCs w:val="52"/>
        </w:rPr>
      </w:pPr>
      <w:r w:rsidRPr="009A50F9">
        <w:rPr>
          <w:rFonts w:cstheme="majorBidi"/>
          <w:color w:val="1F497D" w:themeColor="text2"/>
          <w:sz w:val="52"/>
          <w:szCs w:val="52"/>
        </w:rPr>
        <w:t xml:space="preserve">Child Protection Priority Issues </w:t>
      </w:r>
      <w:r w:rsidR="007D08AB" w:rsidRPr="009A50F9">
        <w:rPr>
          <w:rFonts w:cstheme="majorBidi"/>
          <w:color w:val="1F497D" w:themeColor="text2"/>
          <w:sz w:val="52"/>
          <w:szCs w:val="52"/>
        </w:rPr>
        <w:t>in Syria</w:t>
      </w:r>
    </w:p>
    <w:p w:rsidR="00AC2420" w:rsidRPr="009A50F9" w:rsidRDefault="00B05490" w:rsidP="00343052">
      <w:pPr>
        <w:spacing w:after="120"/>
        <w:ind w:right="-576"/>
        <w:jc w:val="center"/>
        <w:rPr>
          <w:rFonts w:cstheme="majorBidi"/>
        </w:rPr>
      </w:pPr>
      <w:r w:rsidRPr="009A50F9">
        <w:rPr>
          <w:rFonts w:cstheme="majorBidi"/>
          <w:color w:val="1F497D" w:themeColor="text2"/>
          <w:sz w:val="32"/>
          <w:szCs w:val="32"/>
        </w:rPr>
        <w:t xml:space="preserve">June </w:t>
      </w:r>
      <w:r w:rsidR="00207046" w:rsidRPr="009A50F9">
        <w:rPr>
          <w:rFonts w:cstheme="majorBidi"/>
          <w:color w:val="1F497D" w:themeColor="text2"/>
          <w:sz w:val="32"/>
          <w:szCs w:val="32"/>
        </w:rPr>
        <w:t>2013</w:t>
      </w:r>
      <w:r w:rsidR="00AC2420" w:rsidRPr="009A50F9">
        <w:rPr>
          <w:rFonts w:cstheme="majorBidi"/>
        </w:rPr>
        <w:br w:type="page"/>
      </w:r>
    </w:p>
    <w:sdt>
      <w:sdtPr>
        <w:rPr>
          <w:rFonts w:asciiTheme="minorHAnsi" w:eastAsiaTheme="minorEastAsia" w:hAnsiTheme="minorHAnsi" w:cstheme="minorBidi"/>
          <w:b w:val="0"/>
          <w:bCs w:val="0"/>
          <w:color w:val="auto"/>
          <w:sz w:val="22"/>
          <w:szCs w:val="22"/>
        </w:rPr>
        <w:id w:val="752558709"/>
        <w:docPartObj>
          <w:docPartGallery w:val="Table of Contents"/>
          <w:docPartUnique/>
        </w:docPartObj>
      </w:sdtPr>
      <w:sdtEndPr>
        <w:rPr>
          <w:noProof/>
        </w:rPr>
      </w:sdtEndPr>
      <w:sdtContent>
        <w:p w:rsidR="00294445" w:rsidRPr="009A50F9" w:rsidRDefault="00294445" w:rsidP="00D66F25">
          <w:pPr>
            <w:pStyle w:val="TOCHeading"/>
            <w:jc w:val="both"/>
            <w:rPr>
              <w:rFonts w:asciiTheme="minorHAnsi" w:hAnsiTheme="minorHAnsi"/>
            </w:rPr>
          </w:pPr>
          <w:r w:rsidRPr="009A50F9">
            <w:rPr>
              <w:rFonts w:asciiTheme="minorHAnsi" w:hAnsiTheme="minorHAnsi"/>
            </w:rPr>
            <w:t>Contents</w:t>
          </w:r>
        </w:p>
        <w:p w:rsidR="0016387D" w:rsidRDefault="00294445">
          <w:pPr>
            <w:pStyle w:val="TOC1"/>
            <w:tabs>
              <w:tab w:val="right" w:leader="dot" w:pos="9016"/>
            </w:tabs>
            <w:rPr>
              <w:noProof/>
              <w:lang w:val="en-US"/>
            </w:rPr>
          </w:pPr>
          <w:r w:rsidRPr="009A50F9">
            <w:fldChar w:fldCharType="begin"/>
          </w:r>
          <w:r w:rsidRPr="009A50F9">
            <w:instrText xml:space="preserve"> TOC \o "1-3" \h \z \u </w:instrText>
          </w:r>
          <w:r w:rsidRPr="009A50F9">
            <w:fldChar w:fldCharType="separate"/>
          </w:r>
          <w:hyperlink w:anchor="_Toc367720276" w:history="1">
            <w:r w:rsidR="0016387D" w:rsidRPr="00432753">
              <w:rPr>
                <w:rStyle w:val="Hyperlink"/>
                <w:noProof/>
              </w:rPr>
              <w:t>Child Protection Issues</w:t>
            </w:r>
            <w:r w:rsidR="0016387D">
              <w:rPr>
                <w:noProof/>
                <w:webHidden/>
              </w:rPr>
              <w:tab/>
            </w:r>
            <w:r w:rsidR="0016387D">
              <w:rPr>
                <w:noProof/>
                <w:webHidden/>
              </w:rPr>
              <w:fldChar w:fldCharType="begin"/>
            </w:r>
            <w:r w:rsidR="0016387D">
              <w:rPr>
                <w:noProof/>
                <w:webHidden/>
              </w:rPr>
              <w:instrText xml:space="preserve"> PAGEREF _Toc367720276 \h </w:instrText>
            </w:r>
            <w:r w:rsidR="0016387D">
              <w:rPr>
                <w:noProof/>
                <w:webHidden/>
              </w:rPr>
            </w:r>
            <w:r w:rsidR="0016387D">
              <w:rPr>
                <w:noProof/>
                <w:webHidden/>
              </w:rPr>
              <w:fldChar w:fldCharType="separate"/>
            </w:r>
            <w:r w:rsidR="0016387D">
              <w:rPr>
                <w:noProof/>
                <w:webHidden/>
              </w:rPr>
              <w:t>3</w:t>
            </w:r>
            <w:r w:rsidR="0016387D">
              <w:rPr>
                <w:noProof/>
                <w:webHidden/>
              </w:rPr>
              <w:fldChar w:fldCharType="end"/>
            </w:r>
          </w:hyperlink>
        </w:p>
        <w:p w:rsidR="0016387D" w:rsidRDefault="00FA6837">
          <w:pPr>
            <w:pStyle w:val="TOC2"/>
            <w:rPr>
              <w:rFonts w:cstheme="minorBidi"/>
              <w:i w:val="0"/>
              <w:iCs w:val="0"/>
              <w:lang w:val="en-US"/>
            </w:rPr>
          </w:pPr>
          <w:hyperlink w:anchor="_Toc367720277" w:history="1">
            <w:r w:rsidR="0016387D" w:rsidRPr="00432753">
              <w:rPr>
                <w:rStyle w:val="Hyperlink"/>
                <w:bCs/>
              </w:rPr>
              <w:t>1.</w:t>
            </w:r>
            <w:r w:rsidR="0016387D">
              <w:rPr>
                <w:rFonts w:cstheme="minorBidi"/>
                <w:i w:val="0"/>
                <w:iCs w:val="0"/>
                <w:lang w:val="en-US"/>
              </w:rPr>
              <w:tab/>
            </w:r>
            <w:r w:rsidR="0016387D" w:rsidRPr="00432753">
              <w:rPr>
                <w:rStyle w:val="Hyperlink"/>
                <w:bCs/>
              </w:rPr>
              <w:t>Separation of children from their caregivers</w:t>
            </w:r>
            <w:r w:rsidR="0016387D">
              <w:rPr>
                <w:webHidden/>
              </w:rPr>
              <w:tab/>
            </w:r>
            <w:r w:rsidR="0016387D">
              <w:rPr>
                <w:webHidden/>
              </w:rPr>
              <w:fldChar w:fldCharType="begin"/>
            </w:r>
            <w:r w:rsidR="0016387D">
              <w:rPr>
                <w:webHidden/>
              </w:rPr>
              <w:instrText xml:space="preserve"> PAGEREF _Toc367720277 \h </w:instrText>
            </w:r>
            <w:r w:rsidR="0016387D">
              <w:rPr>
                <w:webHidden/>
              </w:rPr>
            </w:r>
            <w:r w:rsidR="0016387D">
              <w:rPr>
                <w:webHidden/>
              </w:rPr>
              <w:fldChar w:fldCharType="separate"/>
            </w:r>
            <w:r w:rsidR="0016387D">
              <w:rPr>
                <w:webHidden/>
              </w:rPr>
              <w:t>3</w:t>
            </w:r>
            <w:r w:rsidR="0016387D">
              <w:rPr>
                <w:webHidden/>
              </w:rPr>
              <w:fldChar w:fldCharType="end"/>
            </w:r>
          </w:hyperlink>
        </w:p>
        <w:p w:rsidR="0016387D" w:rsidRDefault="00FA6837">
          <w:pPr>
            <w:pStyle w:val="TOC3"/>
            <w:tabs>
              <w:tab w:val="left" w:pos="1100"/>
              <w:tab w:val="right" w:leader="dot" w:pos="9016"/>
            </w:tabs>
            <w:rPr>
              <w:noProof/>
              <w:lang w:val="en-US"/>
            </w:rPr>
          </w:pPr>
          <w:hyperlink w:anchor="_Toc367720278" w:history="1">
            <w:r w:rsidR="0016387D" w:rsidRPr="00432753">
              <w:rPr>
                <w:rStyle w:val="Hyperlink"/>
                <w:rFonts w:cstheme="majorBidi"/>
                <w:bCs/>
                <w:i/>
                <w:iCs/>
                <w:noProof/>
              </w:rPr>
              <w:t>1.1</w:t>
            </w:r>
            <w:r w:rsidR="0016387D">
              <w:rPr>
                <w:noProof/>
                <w:lang w:val="en-US"/>
              </w:rPr>
              <w:tab/>
            </w:r>
            <w:r w:rsidR="0016387D" w:rsidRPr="00432753">
              <w:rPr>
                <w:rStyle w:val="Hyperlink"/>
                <w:rFonts w:cstheme="majorBidi"/>
                <w:bCs/>
                <w:i/>
                <w:iCs/>
                <w:noProof/>
              </w:rPr>
              <w:t>Understanding of the issue prior to the conflict</w:t>
            </w:r>
            <w:r w:rsidR="0016387D">
              <w:rPr>
                <w:noProof/>
                <w:webHidden/>
              </w:rPr>
              <w:tab/>
            </w:r>
            <w:r w:rsidR="0016387D">
              <w:rPr>
                <w:noProof/>
                <w:webHidden/>
              </w:rPr>
              <w:fldChar w:fldCharType="begin"/>
            </w:r>
            <w:r w:rsidR="0016387D">
              <w:rPr>
                <w:noProof/>
                <w:webHidden/>
              </w:rPr>
              <w:instrText xml:space="preserve"> PAGEREF _Toc367720278 \h </w:instrText>
            </w:r>
            <w:r w:rsidR="0016387D">
              <w:rPr>
                <w:noProof/>
                <w:webHidden/>
              </w:rPr>
            </w:r>
            <w:r w:rsidR="0016387D">
              <w:rPr>
                <w:noProof/>
                <w:webHidden/>
              </w:rPr>
              <w:fldChar w:fldCharType="separate"/>
            </w:r>
            <w:r w:rsidR="0016387D">
              <w:rPr>
                <w:noProof/>
                <w:webHidden/>
              </w:rPr>
              <w:t>3</w:t>
            </w:r>
            <w:r w:rsidR="0016387D">
              <w:rPr>
                <w:noProof/>
                <w:webHidden/>
              </w:rPr>
              <w:fldChar w:fldCharType="end"/>
            </w:r>
          </w:hyperlink>
        </w:p>
        <w:p w:rsidR="0016387D" w:rsidRDefault="00FA6837">
          <w:pPr>
            <w:pStyle w:val="TOC3"/>
            <w:tabs>
              <w:tab w:val="left" w:pos="1100"/>
              <w:tab w:val="right" w:leader="dot" w:pos="9016"/>
            </w:tabs>
            <w:rPr>
              <w:noProof/>
              <w:lang w:val="en-US"/>
            </w:rPr>
          </w:pPr>
          <w:hyperlink w:anchor="_Toc367720279" w:history="1">
            <w:r w:rsidR="0016387D" w:rsidRPr="00432753">
              <w:rPr>
                <w:rStyle w:val="Hyperlink"/>
                <w:rFonts w:cstheme="majorBidi"/>
                <w:bCs/>
                <w:i/>
                <w:iCs/>
                <w:noProof/>
              </w:rPr>
              <w:t>1.2</w:t>
            </w:r>
            <w:r w:rsidR="0016387D">
              <w:rPr>
                <w:noProof/>
                <w:lang w:val="en-US"/>
              </w:rPr>
              <w:tab/>
            </w:r>
            <w:r w:rsidR="0016387D" w:rsidRPr="00432753">
              <w:rPr>
                <w:rStyle w:val="Hyperlink"/>
                <w:rFonts w:cstheme="majorBidi"/>
                <w:bCs/>
                <w:i/>
                <w:iCs/>
                <w:noProof/>
              </w:rPr>
              <w:t>Understanding of the issue since the onset of the conflict</w:t>
            </w:r>
            <w:r w:rsidR="0016387D">
              <w:rPr>
                <w:noProof/>
                <w:webHidden/>
              </w:rPr>
              <w:tab/>
            </w:r>
            <w:r w:rsidR="0016387D">
              <w:rPr>
                <w:noProof/>
                <w:webHidden/>
              </w:rPr>
              <w:fldChar w:fldCharType="begin"/>
            </w:r>
            <w:r w:rsidR="0016387D">
              <w:rPr>
                <w:noProof/>
                <w:webHidden/>
              </w:rPr>
              <w:instrText xml:space="preserve"> PAGEREF _Toc367720279 \h </w:instrText>
            </w:r>
            <w:r w:rsidR="0016387D">
              <w:rPr>
                <w:noProof/>
                <w:webHidden/>
              </w:rPr>
            </w:r>
            <w:r w:rsidR="0016387D">
              <w:rPr>
                <w:noProof/>
                <w:webHidden/>
              </w:rPr>
              <w:fldChar w:fldCharType="separate"/>
            </w:r>
            <w:r w:rsidR="0016387D">
              <w:rPr>
                <w:noProof/>
                <w:webHidden/>
              </w:rPr>
              <w:t>4</w:t>
            </w:r>
            <w:r w:rsidR="0016387D">
              <w:rPr>
                <w:noProof/>
                <w:webHidden/>
              </w:rPr>
              <w:fldChar w:fldCharType="end"/>
            </w:r>
          </w:hyperlink>
        </w:p>
        <w:p w:rsidR="0016387D" w:rsidRDefault="00FA6837">
          <w:pPr>
            <w:pStyle w:val="TOC2"/>
            <w:rPr>
              <w:rFonts w:cstheme="minorBidi"/>
              <w:i w:val="0"/>
              <w:iCs w:val="0"/>
              <w:lang w:val="en-US"/>
            </w:rPr>
          </w:pPr>
          <w:hyperlink w:anchor="_Toc367720280" w:history="1">
            <w:r w:rsidR="0016387D" w:rsidRPr="00432753">
              <w:rPr>
                <w:rStyle w:val="Hyperlink"/>
                <w:bCs/>
              </w:rPr>
              <w:t>2.</w:t>
            </w:r>
            <w:r w:rsidR="0016387D">
              <w:rPr>
                <w:rFonts w:cstheme="minorBidi"/>
                <w:i w:val="0"/>
                <w:iCs w:val="0"/>
                <w:lang w:val="en-US"/>
              </w:rPr>
              <w:tab/>
            </w:r>
            <w:r w:rsidR="0016387D" w:rsidRPr="00432753">
              <w:rPr>
                <w:rStyle w:val="Hyperlink"/>
                <w:bCs/>
              </w:rPr>
              <w:t>Physical danger and violence against children</w:t>
            </w:r>
            <w:r w:rsidR="0016387D">
              <w:rPr>
                <w:webHidden/>
              </w:rPr>
              <w:tab/>
            </w:r>
            <w:r w:rsidR="0016387D">
              <w:rPr>
                <w:webHidden/>
              </w:rPr>
              <w:fldChar w:fldCharType="begin"/>
            </w:r>
            <w:r w:rsidR="0016387D">
              <w:rPr>
                <w:webHidden/>
              </w:rPr>
              <w:instrText xml:space="preserve"> PAGEREF _Toc367720280 \h </w:instrText>
            </w:r>
            <w:r w:rsidR="0016387D">
              <w:rPr>
                <w:webHidden/>
              </w:rPr>
            </w:r>
            <w:r w:rsidR="0016387D">
              <w:rPr>
                <w:webHidden/>
              </w:rPr>
              <w:fldChar w:fldCharType="separate"/>
            </w:r>
            <w:r w:rsidR="0016387D">
              <w:rPr>
                <w:webHidden/>
              </w:rPr>
              <w:t>5</w:t>
            </w:r>
            <w:r w:rsidR="0016387D">
              <w:rPr>
                <w:webHidden/>
              </w:rPr>
              <w:fldChar w:fldCharType="end"/>
            </w:r>
          </w:hyperlink>
        </w:p>
        <w:p w:rsidR="0016387D" w:rsidRDefault="00FA6837">
          <w:pPr>
            <w:pStyle w:val="TOC3"/>
            <w:tabs>
              <w:tab w:val="left" w:pos="1100"/>
              <w:tab w:val="right" w:leader="dot" w:pos="9016"/>
            </w:tabs>
            <w:rPr>
              <w:noProof/>
              <w:lang w:val="en-US"/>
            </w:rPr>
          </w:pPr>
          <w:hyperlink w:anchor="_Toc367720281" w:history="1">
            <w:r w:rsidR="0016387D" w:rsidRPr="00432753">
              <w:rPr>
                <w:rStyle w:val="Hyperlink"/>
                <w:rFonts w:cstheme="majorBidi"/>
                <w:bCs/>
                <w:noProof/>
              </w:rPr>
              <w:t>2.1</w:t>
            </w:r>
            <w:r w:rsidR="0016387D">
              <w:rPr>
                <w:noProof/>
                <w:lang w:val="en-US"/>
              </w:rPr>
              <w:tab/>
            </w:r>
            <w:r w:rsidR="0016387D" w:rsidRPr="00432753">
              <w:rPr>
                <w:rStyle w:val="Hyperlink"/>
                <w:rFonts w:cstheme="majorBidi"/>
                <w:bCs/>
                <w:noProof/>
              </w:rPr>
              <w:t>Understanding of the issue before the conflict</w:t>
            </w:r>
            <w:r w:rsidR="0016387D">
              <w:rPr>
                <w:noProof/>
                <w:webHidden/>
              </w:rPr>
              <w:tab/>
            </w:r>
            <w:r w:rsidR="0016387D">
              <w:rPr>
                <w:noProof/>
                <w:webHidden/>
              </w:rPr>
              <w:fldChar w:fldCharType="begin"/>
            </w:r>
            <w:r w:rsidR="0016387D">
              <w:rPr>
                <w:noProof/>
                <w:webHidden/>
              </w:rPr>
              <w:instrText xml:space="preserve"> PAGEREF _Toc367720281 \h </w:instrText>
            </w:r>
            <w:r w:rsidR="0016387D">
              <w:rPr>
                <w:noProof/>
                <w:webHidden/>
              </w:rPr>
            </w:r>
            <w:r w:rsidR="0016387D">
              <w:rPr>
                <w:noProof/>
                <w:webHidden/>
              </w:rPr>
              <w:fldChar w:fldCharType="separate"/>
            </w:r>
            <w:r w:rsidR="0016387D">
              <w:rPr>
                <w:noProof/>
                <w:webHidden/>
              </w:rPr>
              <w:t>5</w:t>
            </w:r>
            <w:r w:rsidR="0016387D">
              <w:rPr>
                <w:noProof/>
                <w:webHidden/>
              </w:rPr>
              <w:fldChar w:fldCharType="end"/>
            </w:r>
          </w:hyperlink>
        </w:p>
        <w:p w:rsidR="0016387D" w:rsidRDefault="00FA6837">
          <w:pPr>
            <w:pStyle w:val="TOC3"/>
            <w:tabs>
              <w:tab w:val="left" w:pos="1100"/>
              <w:tab w:val="right" w:leader="dot" w:pos="9016"/>
            </w:tabs>
            <w:rPr>
              <w:noProof/>
              <w:lang w:val="en-US"/>
            </w:rPr>
          </w:pPr>
          <w:hyperlink w:anchor="_Toc367720282" w:history="1">
            <w:r w:rsidR="0016387D" w:rsidRPr="00432753">
              <w:rPr>
                <w:rStyle w:val="Hyperlink"/>
                <w:rFonts w:cstheme="majorBidi"/>
                <w:bCs/>
                <w:noProof/>
              </w:rPr>
              <w:t>2.2</w:t>
            </w:r>
            <w:r w:rsidR="0016387D">
              <w:rPr>
                <w:noProof/>
                <w:lang w:val="en-US"/>
              </w:rPr>
              <w:tab/>
            </w:r>
            <w:r w:rsidR="0016387D" w:rsidRPr="00432753">
              <w:rPr>
                <w:rStyle w:val="Hyperlink"/>
                <w:rFonts w:cstheme="majorBidi"/>
                <w:bCs/>
                <w:noProof/>
              </w:rPr>
              <w:t>Understanding of the issue since the onset of the conflict</w:t>
            </w:r>
            <w:r w:rsidR="0016387D">
              <w:rPr>
                <w:noProof/>
                <w:webHidden/>
              </w:rPr>
              <w:tab/>
            </w:r>
            <w:r w:rsidR="0016387D">
              <w:rPr>
                <w:noProof/>
                <w:webHidden/>
              </w:rPr>
              <w:fldChar w:fldCharType="begin"/>
            </w:r>
            <w:r w:rsidR="0016387D">
              <w:rPr>
                <w:noProof/>
                <w:webHidden/>
              </w:rPr>
              <w:instrText xml:space="preserve"> PAGEREF _Toc367720282 \h </w:instrText>
            </w:r>
            <w:r w:rsidR="0016387D">
              <w:rPr>
                <w:noProof/>
                <w:webHidden/>
              </w:rPr>
            </w:r>
            <w:r w:rsidR="0016387D">
              <w:rPr>
                <w:noProof/>
                <w:webHidden/>
              </w:rPr>
              <w:fldChar w:fldCharType="separate"/>
            </w:r>
            <w:r w:rsidR="0016387D">
              <w:rPr>
                <w:noProof/>
                <w:webHidden/>
              </w:rPr>
              <w:t>6</w:t>
            </w:r>
            <w:r w:rsidR="0016387D">
              <w:rPr>
                <w:noProof/>
                <w:webHidden/>
              </w:rPr>
              <w:fldChar w:fldCharType="end"/>
            </w:r>
          </w:hyperlink>
        </w:p>
        <w:p w:rsidR="0016387D" w:rsidRDefault="00FA6837">
          <w:pPr>
            <w:pStyle w:val="TOC2"/>
            <w:rPr>
              <w:rFonts w:cstheme="minorBidi"/>
              <w:i w:val="0"/>
              <w:iCs w:val="0"/>
              <w:lang w:val="en-US"/>
            </w:rPr>
          </w:pPr>
          <w:hyperlink w:anchor="_Toc367720283" w:history="1">
            <w:r w:rsidR="0016387D" w:rsidRPr="00432753">
              <w:rPr>
                <w:rStyle w:val="Hyperlink"/>
                <w:bCs/>
              </w:rPr>
              <w:t>3</w:t>
            </w:r>
            <w:r w:rsidR="0016387D">
              <w:rPr>
                <w:rFonts w:cstheme="minorBidi"/>
                <w:i w:val="0"/>
                <w:iCs w:val="0"/>
                <w:lang w:val="en-US"/>
              </w:rPr>
              <w:tab/>
            </w:r>
            <w:r w:rsidR="0016387D" w:rsidRPr="00432753">
              <w:rPr>
                <w:rStyle w:val="Hyperlink"/>
                <w:bCs/>
              </w:rPr>
              <w:t>Worst Forms of Child Labour</w:t>
            </w:r>
            <w:r w:rsidR="0016387D">
              <w:rPr>
                <w:webHidden/>
              </w:rPr>
              <w:tab/>
            </w:r>
            <w:r w:rsidR="0016387D">
              <w:rPr>
                <w:webHidden/>
              </w:rPr>
              <w:fldChar w:fldCharType="begin"/>
            </w:r>
            <w:r w:rsidR="0016387D">
              <w:rPr>
                <w:webHidden/>
              </w:rPr>
              <w:instrText xml:space="preserve"> PAGEREF _Toc367720283 \h </w:instrText>
            </w:r>
            <w:r w:rsidR="0016387D">
              <w:rPr>
                <w:webHidden/>
              </w:rPr>
            </w:r>
            <w:r w:rsidR="0016387D">
              <w:rPr>
                <w:webHidden/>
              </w:rPr>
              <w:fldChar w:fldCharType="separate"/>
            </w:r>
            <w:r w:rsidR="0016387D">
              <w:rPr>
                <w:webHidden/>
              </w:rPr>
              <w:t>10</w:t>
            </w:r>
            <w:r w:rsidR="0016387D">
              <w:rPr>
                <w:webHidden/>
              </w:rPr>
              <w:fldChar w:fldCharType="end"/>
            </w:r>
          </w:hyperlink>
        </w:p>
        <w:p w:rsidR="0016387D" w:rsidRDefault="00FA6837">
          <w:pPr>
            <w:pStyle w:val="TOC3"/>
            <w:tabs>
              <w:tab w:val="left" w:pos="1100"/>
              <w:tab w:val="right" w:leader="dot" w:pos="9016"/>
            </w:tabs>
            <w:rPr>
              <w:noProof/>
              <w:lang w:val="en-US"/>
            </w:rPr>
          </w:pPr>
          <w:hyperlink w:anchor="_Toc367720284" w:history="1">
            <w:r w:rsidR="0016387D" w:rsidRPr="00432753">
              <w:rPr>
                <w:rStyle w:val="Hyperlink"/>
                <w:rFonts w:cstheme="majorBidi"/>
                <w:bCs/>
                <w:noProof/>
              </w:rPr>
              <w:t>3.1</w:t>
            </w:r>
            <w:r w:rsidR="0016387D">
              <w:rPr>
                <w:noProof/>
                <w:lang w:val="en-US"/>
              </w:rPr>
              <w:tab/>
            </w:r>
            <w:r w:rsidR="0016387D" w:rsidRPr="00432753">
              <w:rPr>
                <w:rStyle w:val="Hyperlink"/>
                <w:rFonts w:cstheme="majorBidi"/>
                <w:bCs/>
                <w:noProof/>
              </w:rPr>
              <w:t>Understanding of the issue before the conflict</w:t>
            </w:r>
            <w:r w:rsidR="0016387D">
              <w:rPr>
                <w:noProof/>
                <w:webHidden/>
              </w:rPr>
              <w:tab/>
            </w:r>
            <w:r w:rsidR="0016387D">
              <w:rPr>
                <w:noProof/>
                <w:webHidden/>
              </w:rPr>
              <w:fldChar w:fldCharType="begin"/>
            </w:r>
            <w:r w:rsidR="0016387D">
              <w:rPr>
                <w:noProof/>
                <w:webHidden/>
              </w:rPr>
              <w:instrText xml:space="preserve"> PAGEREF _Toc367720284 \h </w:instrText>
            </w:r>
            <w:r w:rsidR="0016387D">
              <w:rPr>
                <w:noProof/>
                <w:webHidden/>
              </w:rPr>
            </w:r>
            <w:r w:rsidR="0016387D">
              <w:rPr>
                <w:noProof/>
                <w:webHidden/>
              </w:rPr>
              <w:fldChar w:fldCharType="separate"/>
            </w:r>
            <w:r w:rsidR="0016387D">
              <w:rPr>
                <w:noProof/>
                <w:webHidden/>
              </w:rPr>
              <w:t>10</w:t>
            </w:r>
            <w:r w:rsidR="0016387D">
              <w:rPr>
                <w:noProof/>
                <w:webHidden/>
              </w:rPr>
              <w:fldChar w:fldCharType="end"/>
            </w:r>
          </w:hyperlink>
        </w:p>
        <w:p w:rsidR="0016387D" w:rsidRDefault="00FA6837">
          <w:pPr>
            <w:pStyle w:val="TOC3"/>
            <w:tabs>
              <w:tab w:val="left" w:pos="1100"/>
              <w:tab w:val="right" w:leader="dot" w:pos="9016"/>
            </w:tabs>
            <w:rPr>
              <w:noProof/>
              <w:lang w:val="en-US"/>
            </w:rPr>
          </w:pPr>
          <w:hyperlink w:anchor="_Toc367720285" w:history="1">
            <w:r w:rsidR="0016387D" w:rsidRPr="00432753">
              <w:rPr>
                <w:rStyle w:val="Hyperlink"/>
                <w:rFonts w:cstheme="majorBidi"/>
                <w:bCs/>
                <w:noProof/>
              </w:rPr>
              <w:t>3.2</w:t>
            </w:r>
            <w:r w:rsidR="0016387D">
              <w:rPr>
                <w:noProof/>
                <w:lang w:val="en-US"/>
              </w:rPr>
              <w:tab/>
            </w:r>
            <w:r w:rsidR="0016387D" w:rsidRPr="00432753">
              <w:rPr>
                <w:rStyle w:val="Hyperlink"/>
                <w:rFonts w:cstheme="majorBidi"/>
                <w:bCs/>
                <w:noProof/>
              </w:rPr>
              <w:t>Understanding of the since the onset of the conflict</w:t>
            </w:r>
            <w:r w:rsidR="0016387D">
              <w:rPr>
                <w:noProof/>
                <w:webHidden/>
              </w:rPr>
              <w:tab/>
            </w:r>
            <w:r w:rsidR="0016387D">
              <w:rPr>
                <w:noProof/>
                <w:webHidden/>
              </w:rPr>
              <w:fldChar w:fldCharType="begin"/>
            </w:r>
            <w:r w:rsidR="0016387D">
              <w:rPr>
                <w:noProof/>
                <w:webHidden/>
              </w:rPr>
              <w:instrText xml:space="preserve"> PAGEREF _Toc367720285 \h </w:instrText>
            </w:r>
            <w:r w:rsidR="0016387D">
              <w:rPr>
                <w:noProof/>
                <w:webHidden/>
              </w:rPr>
            </w:r>
            <w:r w:rsidR="0016387D">
              <w:rPr>
                <w:noProof/>
                <w:webHidden/>
              </w:rPr>
              <w:fldChar w:fldCharType="separate"/>
            </w:r>
            <w:r w:rsidR="0016387D">
              <w:rPr>
                <w:noProof/>
                <w:webHidden/>
              </w:rPr>
              <w:t>11</w:t>
            </w:r>
            <w:r w:rsidR="0016387D">
              <w:rPr>
                <w:noProof/>
                <w:webHidden/>
              </w:rPr>
              <w:fldChar w:fldCharType="end"/>
            </w:r>
          </w:hyperlink>
        </w:p>
        <w:p w:rsidR="0016387D" w:rsidRDefault="00FA6837">
          <w:pPr>
            <w:pStyle w:val="TOC1"/>
            <w:tabs>
              <w:tab w:val="left" w:pos="440"/>
              <w:tab w:val="right" w:leader="dot" w:pos="9016"/>
            </w:tabs>
            <w:rPr>
              <w:noProof/>
              <w:lang w:val="en-US"/>
            </w:rPr>
          </w:pPr>
          <w:hyperlink w:anchor="_Toc367720286" w:history="1">
            <w:r w:rsidR="0016387D" w:rsidRPr="00432753">
              <w:rPr>
                <w:rStyle w:val="Hyperlink"/>
                <w:rFonts w:cstheme="majorBidi"/>
                <w:bCs/>
                <w:i/>
                <w:iCs/>
                <w:noProof/>
              </w:rPr>
              <w:t>4</w:t>
            </w:r>
            <w:r w:rsidR="0016387D">
              <w:rPr>
                <w:noProof/>
                <w:lang w:val="en-US"/>
              </w:rPr>
              <w:tab/>
            </w:r>
            <w:r w:rsidR="0016387D" w:rsidRPr="00432753">
              <w:rPr>
                <w:rStyle w:val="Hyperlink"/>
                <w:rFonts w:cstheme="majorBidi"/>
                <w:bCs/>
                <w:i/>
                <w:iCs/>
                <w:noProof/>
              </w:rPr>
              <w:t>Children associated with armed forces and groups</w:t>
            </w:r>
            <w:r w:rsidR="0016387D">
              <w:rPr>
                <w:noProof/>
                <w:webHidden/>
              </w:rPr>
              <w:tab/>
            </w:r>
            <w:r w:rsidR="0016387D">
              <w:rPr>
                <w:noProof/>
                <w:webHidden/>
              </w:rPr>
              <w:fldChar w:fldCharType="begin"/>
            </w:r>
            <w:r w:rsidR="0016387D">
              <w:rPr>
                <w:noProof/>
                <w:webHidden/>
              </w:rPr>
              <w:instrText xml:space="preserve"> PAGEREF _Toc367720286 \h </w:instrText>
            </w:r>
            <w:r w:rsidR="0016387D">
              <w:rPr>
                <w:noProof/>
                <w:webHidden/>
              </w:rPr>
            </w:r>
            <w:r w:rsidR="0016387D">
              <w:rPr>
                <w:noProof/>
                <w:webHidden/>
              </w:rPr>
              <w:fldChar w:fldCharType="separate"/>
            </w:r>
            <w:r w:rsidR="0016387D">
              <w:rPr>
                <w:noProof/>
                <w:webHidden/>
              </w:rPr>
              <w:t>11</w:t>
            </w:r>
            <w:r w:rsidR="0016387D">
              <w:rPr>
                <w:noProof/>
                <w:webHidden/>
              </w:rPr>
              <w:fldChar w:fldCharType="end"/>
            </w:r>
          </w:hyperlink>
        </w:p>
        <w:p w:rsidR="0016387D" w:rsidRDefault="00FA6837">
          <w:pPr>
            <w:pStyle w:val="TOC2"/>
            <w:rPr>
              <w:rFonts w:cstheme="minorBidi"/>
              <w:i w:val="0"/>
              <w:iCs w:val="0"/>
              <w:lang w:val="en-US"/>
            </w:rPr>
          </w:pPr>
          <w:hyperlink w:anchor="_Toc367720287" w:history="1">
            <w:r w:rsidR="0016387D" w:rsidRPr="00432753">
              <w:rPr>
                <w:rStyle w:val="Hyperlink"/>
                <w:bCs/>
              </w:rPr>
              <w:t>4.1</w:t>
            </w:r>
            <w:r w:rsidR="0016387D">
              <w:rPr>
                <w:rFonts w:cstheme="minorBidi"/>
                <w:i w:val="0"/>
                <w:iCs w:val="0"/>
                <w:lang w:val="en-US"/>
              </w:rPr>
              <w:tab/>
            </w:r>
            <w:r w:rsidR="0016387D" w:rsidRPr="00432753">
              <w:rPr>
                <w:rStyle w:val="Hyperlink"/>
                <w:bCs/>
              </w:rPr>
              <w:t>Understanding of the issue before the conflict</w:t>
            </w:r>
            <w:r w:rsidR="0016387D">
              <w:rPr>
                <w:webHidden/>
              </w:rPr>
              <w:tab/>
            </w:r>
            <w:r w:rsidR="0016387D">
              <w:rPr>
                <w:webHidden/>
              </w:rPr>
              <w:fldChar w:fldCharType="begin"/>
            </w:r>
            <w:r w:rsidR="0016387D">
              <w:rPr>
                <w:webHidden/>
              </w:rPr>
              <w:instrText xml:space="preserve"> PAGEREF _Toc367720287 \h </w:instrText>
            </w:r>
            <w:r w:rsidR="0016387D">
              <w:rPr>
                <w:webHidden/>
              </w:rPr>
            </w:r>
            <w:r w:rsidR="0016387D">
              <w:rPr>
                <w:webHidden/>
              </w:rPr>
              <w:fldChar w:fldCharType="separate"/>
            </w:r>
            <w:r w:rsidR="0016387D">
              <w:rPr>
                <w:webHidden/>
              </w:rPr>
              <w:t>11</w:t>
            </w:r>
            <w:r w:rsidR="0016387D">
              <w:rPr>
                <w:webHidden/>
              </w:rPr>
              <w:fldChar w:fldCharType="end"/>
            </w:r>
          </w:hyperlink>
        </w:p>
        <w:p w:rsidR="0016387D" w:rsidRDefault="00FA6837">
          <w:pPr>
            <w:pStyle w:val="TOC3"/>
            <w:tabs>
              <w:tab w:val="left" w:pos="1100"/>
              <w:tab w:val="right" w:leader="dot" w:pos="9016"/>
            </w:tabs>
            <w:rPr>
              <w:noProof/>
              <w:lang w:val="en-US"/>
            </w:rPr>
          </w:pPr>
          <w:hyperlink w:anchor="_Toc367720288" w:history="1">
            <w:r w:rsidR="0016387D" w:rsidRPr="00432753">
              <w:rPr>
                <w:rStyle w:val="Hyperlink"/>
                <w:rFonts w:cstheme="majorBidi"/>
                <w:bCs/>
                <w:i/>
                <w:iCs/>
                <w:noProof/>
              </w:rPr>
              <w:t>4.2</w:t>
            </w:r>
            <w:r w:rsidR="0016387D">
              <w:rPr>
                <w:noProof/>
                <w:lang w:val="en-US"/>
              </w:rPr>
              <w:tab/>
            </w:r>
            <w:r w:rsidR="0016387D" w:rsidRPr="00432753">
              <w:rPr>
                <w:rStyle w:val="Hyperlink"/>
                <w:rFonts w:cstheme="majorBidi"/>
                <w:bCs/>
                <w:noProof/>
              </w:rPr>
              <w:t>Understanding of the issue since the onset of the conflict</w:t>
            </w:r>
            <w:r w:rsidR="0016387D">
              <w:rPr>
                <w:noProof/>
                <w:webHidden/>
              </w:rPr>
              <w:tab/>
            </w:r>
            <w:r w:rsidR="0016387D">
              <w:rPr>
                <w:noProof/>
                <w:webHidden/>
              </w:rPr>
              <w:fldChar w:fldCharType="begin"/>
            </w:r>
            <w:r w:rsidR="0016387D">
              <w:rPr>
                <w:noProof/>
                <w:webHidden/>
              </w:rPr>
              <w:instrText xml:space="preserve"> PAGEREF _Toc367720288 \h </w:instrText>
            </w:r>
            <w:r w:rsidR="0016387D">
              <w:rPr>
                <w:noProof/>
                <w:webHidden/>
              </w:rPr>
            </w:r>
            <w:r w:rsidR="0016387D">
              <w:rPr>
                <w:noProof/>
                <w:webHidden/>
              </w:rPr>
              <w:fldChar w:fldCharType="separate"/>
            </w:r>
            <w:r w:rsidR="0016387D">
              <w:rPr>
                <w:noProof/>
                <w:webHidden/>
              </w:rPr>
              <w:t>12</w:t>
            </w:r>
            <w:r w:rsidR="0016387D">
              <w:rPr>
                <w:noProof/>
                <w:webHidden/>
              </w:rPr>
              <w:fldChar w:fldCharType="end"/>
            </w:r>
          </w:hyperlink>
        </w:p>
        <w:p w:rsidR="0016387D" w:rsidRDefault="00FA6837">
          <w:pPr>
            <w:pStyle w:val="TOC2"/>
            <w:rPr>
              <w:rFonts w:cstheme="minorBidi"/>
              <w:i w:val="0"/>
              <w:iCs w:val="0"/>
              <w:lang w:val="en-US"/>
            </w:rPr>
          </w:pPr>
          <w:hyperlink w:anchor="_Toc367720289" w:history="1">
            <w:r w:rsidR="0016387D" w:rsidRPr="00432753">
              <w:rPr>
                <w:rStyle w:val="Hyperlink"/>
                <w:bCs/>
              </w:rPr>
              <w:t>5</w:t>
            </w:r>
            <w:r w:rsidR="0016387D">
              <w:rPr>
                <w:rFonts w:cstheme="minorBidi"/>
                <w:i w:val="0"/>
                <w:iCs w:val="0"/>
                <w:lang w:val="en-US"/>
              </w:rPr>
              <w:tab/>
            </w:r>
            <w:r w:rsidR="0016387D" w:rsidRPr="00432753">
              <w:rPr>
                <w:rStyle w:val="Hyperlink"/>
                <w:bCs/>
              </w:rPr>
              <w:t>Sexual violence</w:t>
            </w:r>
            <w:r w:rsidR="0016387D">
              <w:rPr>
                <w:webHidden/>
              </w:rPr>
              <w:tab/>
            </w:r>
            <w:r w:rsidR="0016387D">
              <w:rPr>
                <w:webHidden/>
              </w:rPr>
              <w:fldChar w:fldCharType="begin"/>
            </w:r>
            <w:r w:rsidR="0016387D">
              <w:rPr>
                <w:webHidden/>
              </w:rPr>
              <w:instrText xml:space="preserve"> PAGEREF _Toc367720289 \h </w:instrText>
            </w:r>
            <w:r w:rsidR="0016387D">
              <w:rPr>
                <w:webHidden/>
              </w:rPr>
            </w:r>
            <w:r w:rsidR="0016387D">
              <w:rPr>
                <w:webHidden/>
              </w:rPr>
              <w:fldChar w:fldCharType="separate"/>
            </w:r>
            <w:r w:rsidR="0016387D">
              <w:rPr>
                <w:webHidden/>
              </w:rPr>
              <w:t>13</w:t>
            </w:r>
            <w:r w:rsidR="0016387D">
              <w:rPr>
                <w:webHidden/>
              </w:rPr>
              <w:fldChar w:fldCharType="end"/>
            </w:r>
          </w:hyperlink>
        </w:p>
        <w:p w:rsidR="0016387D" w:rsidRDefault="00FA6837">
          <w:pPr>
            <w:pStyle w:val="TOC3"/>
            <w:tabs>
              <w:tab w:val="left" w:pos="1100"/>
              <w:tab w:val="right" w:leader="dot" w:pos="9016"/>
            </w:tabs>
            <w:rPr>
              <w:noProof/>
              <w:lang w:val="en-US"/>
            </w:rPr>
          </w:pPr>
          <w:hyperlink w:anchor="_Toc367720290" w:history="1">
            <w:r w:rsidR="0016387D" w:rsidRPr="00432753">
              <w:rPr>
                <w:rStyle w:val="Hyperlink"/>
                <w:rFonts w:cstheme="majorBidi"/>
                <w:bCs/>
                <w:i/>
                <w:iCs/>
                <w:noProof/>
              </w:rPr>
              <w:t>5.1</w:t>
            </w:r>
            <w:r w:rsidR="0016387D">
              <w:rPr>
                <w:noProof/>
                <w:lang w:val="en-US"/>
              </w:rPr>
              <w:tab/>
            </w:r>
            <w:r w:rsidR="0016387D" w:rsidRPr="00432753">
              <w:rPr>
                <w:rStyle w:val="Hyperlink"/>
                <w:rFonts w:cstheme="majorBidi"/>
                <w:bCs/>
                <w:i/>
                <w:iCs/>
                <w:noProof/>
              </w:rPr>
              <w:t>Understanding of the issue before the conflict</w:t>
            </w:r>
            <w:r w:rsidR="0016387D">
              <w:rPr>
                <w:noProof/>
                <w:webHidden/>
              </w:rPr>
              <w:tab/>
            </w:r>
            <w:r w:rsidR="0016387D">
              <w:rPr>
                <w:noProof/>
                <w:webHidden/>
              </w:rPr>
              <w:fldChar w:fldCharType="begin"/>
            </w:r>
            <w:r w:rsidR="0016387D">
              <w:rPr>
                <w:noProof/>
                <w:webHidden/>
              </w:rPr>
              <w:instrText xml:space="preserve"> PAGEREF _Toc367720290 \h </w:instrText>
            </w:r>
            <w:r w:rsidR="0016387D">
              <w:rPr>
                <w:noProof/>
                <w:webHidden/>
              </w:rPr>
            </w:r>
            <w:r w:rsidR="0016387D">
              <w:rPr>
                <w:noProof/>
                <w:webHidden/>
              </w:rPr>
              <w:fldChar w:fldCharType="separate"/>
            </w:r>
            <w:r w:rsidR="0016387D">
              <w:rPr>
                <w:noProof/>
                <w:webHidden/>
              </w:rPr>
              <w:t>13</w:t>
            </w:r>
            <w:r w:rsidR="0016387D">
              <w:rPr>
                <w:noProof/>
                <w:webHidden/>
              </w:rPr>
              <w:fldChar w:fldCharType="end"/>
            </w:r>
          </w:hyperlink>
        </w:p>
        <w:p w:rsidR="0016387D" w:rsidRDefault="00FA6837">
          <w:pPr>
            <w:pStyle w:val="TOC3"/>
            <w:tabs>
              <w:tab w:val="left" w:pos="1100"/>
              <w:tab w:val="right" w:leader="dot" w:pos="9016"/>
            </w:tabs>
            <w:rPr>
              <w:noProof/>
              <w:lang w:val="en-US"/>
            </w:rPr>
          </w:pPr>
          <w:hyperlink w:anchor="_Toc367720291" w:history="1">
            <w:r w:rsidR="0016387D" w:rsidRPr="00432753">
              <w:rPr>
                <w:rStyle w:val="Hyperlink"/>
                <w:rFonts w:cstheme="majorBidi"/>
                <w:bCs/>
                <w:i/>
                <w:iCs/>
                <w:noProof/>
              </w:rPr>
              <w:t>5.2</w:t>
            </w:r>
            <w:r w:rsidR="0016387D">
              <w:rPr>
                <w:noProof/>
                <w:lang w:val="en-US"/>
              </w:rPr>
              <w:tab/>
            </w:r>
            <w:r w:rsidR="0016387D" w:rsidRPr="00432753">
              <w:rPr>
                <w:rStyle w:val="Hyperlink"/>
                <w:rFonts w:cstheme="majorBidi"/>
                <w:bCs/>
                <w:i/>
                <w:iCs/>
                <w:noProof/>
              </w:rPr>
              <w:t>Understanding of the issue since the onset of the conflict</w:t>
            </w:r>
            <w:r w:rsidR="0016387D">
              <w:rPr>
                <w:noProof/>
                <w:webHidden/>
              </w:rPr>
              <w:tab/>
            </w:r>
            <w:r w:rsidR="0016387D">
              <w:rPr>
                <w:noProof/>
                <w:webHidden/>
              </w:rPr>
              <w:fldChar w:fldCharType="begin"/>
            </w:r>
            <w:r w:rsidR="0016387D">
              <w:rPr>
                <w:noProof/>
                <w:webHidden/>
              </w:rPr>
              <w:instrText xml:space="preserve"> PAGEREF _Toc367720291 \h </w:instrText>
            </w:r>
            <w:r w:rsidR="0016387D">
              <w:rPr>
                <w:noProof/>
                <w:webHidden/>
              </w:rPr>
            </w:r>
            <w:r w:rsidR="0016387D">
              <w:rPr>
                <w:noProof/>
                <w:webHidden/>
              </w:rPr>
              <w:fldChar w:fldCharType="separate"/>
            </w:r>
            <w:r w:rsidR="0016387D">
              <w:rPr>
                <w:noProof/>
                <w:webHidden/>
              </w:rPr>
              <w:t>13</w:t>
            </w:r>
            <w:r w:rsidR="0016387D">
              <w:rPr>
                <w:noProof/>
                <w:webHidden/>
              </w:rPr>
              <w:fldChar w:fldCharType="end"/>
            </w:r>
          </w:hyperlink>
        </w:p>
        <w:p w:rsidR="0016387D" w:rsidRDefault="00FA6837">
          <w:pPr>
            <w:pStyle w:val="TOC2"/>
            <w:rPr>
              <w:rFonts w:cstheme="minorBidi"/>
              <w:i w:val="0"/>
              <w:iCs w:val="0"/>
              <w:lang w:val="en-US"/>
            </w:rPr>
          </w:pPr>
          <w:hyperlink w:anchor="_Toc367720292" w:history="1">
            <w:r w:rsidR="0016387D" w:rsidRPr="00432753">
              <w:rPr>
                <w:rStyle w:val="Hyperlink"/>
                <w:b/>
                <w:bCs/>
              </w:rPr>
              <w:t>6</w:t>
            </w:r>
            <w:r w:rsidR="0016387D">
              <w:rPr>
                <w:rFonts w:cstheme="minorBidi"/>
                <w:i w:val="0"/>
                <w:iCs w:val="0"/>
                <w:lang w:val="en-US"/>
              </w:rPr>
              <w:tab/>
            </w:r>
            <w:r w:rsidR="0016387D" w:rsidRPr="00432753">
              <w:rPr>
                <w:rStyle w:val="Hyperlink"/>
                <w:b/>
                <w:bCs/>
              </w:rPr>
              <w:t>Child marriage</w:t>
            </w:r>
            <w:r w:rsidR="0016387D">
              <w:rPr>
                <w:webHidden/>
              </w:rPr>
              <w:tab/>
            </w:r>
            <w:r w:rsidR="0016387D">
              <w:rPr>
                <w:webHidden/>
              </w:rPr>
              <w:fldChar w:fldCharType="begin"/>
            </w:r>
            <w:r w:rsidR="0016387D">
              <w:rPr>
                <w:webHidden/>
              </w:rPr>
              <w:instrText xml:space="preserve"> PAGEREF _Toc367720292 \h </w:instrText>
            </w:r>
            <w:r w:rsidR="0016387D">
              <w:rPr>
                <w:webHidden/>
              </w:rPr>
            </w:r>
            <w:r w:rsidR="0016387D">
              <w:rPr>
                <w:webHidden/>
              </w:rPr>
              <w:fldChar w:fldCharType="separate"/>
            </w:r>
            <w:r w:rsidR="0016387D">
              <w:rPr>
                <w:webHidden/>
              </w:rPr>
              <w:t>15</w:t>
            </w:r>
            <w:r w:rsidR="0016387D">
              <w:rPr>
                <w:webHidden/>
              </w:rPr>
              <w:fldChar w:fldCharType="end"/>
            </w:r>
          </w:hyperlink>
        </w:p>
        <w:p w:rsidR="0016387D" w:rsidRDefault="00FA6837">
          <w:pPr>
            <w:pStyle w:val="TOC3"/>
            <w:tabs>
              <w:tab w:val="left" w:pos="1100"/>
              <w:tab w:val="right" w:leader="dot" w:pos="9016"/>
            </w:tabs>
            <w:rPr>
              <w:noProof/>
              <w:lang w:val="en-US"/>
            </w:rPr>
          </w:pPr>
          <w:hyperlink w:anchor="_Toc367720293" w:history="1">
            <w:r w:rsidR="0016387D" w:rsidRPr="00432753">
              <w:rPr>
                <w:rStyle w:val="Hyperlink"/>
                <w:rFonts w:cstheme="majorBidi"/>
                <w:bCs/>
                <w:i/>
                <w:iCs/>
                <w:noProof/>
              </w:rPr>
              <w:t>6.1</w:t>
            </w:r>
            <w:r w:rsidR="0016387D">
              <w:rPr>
                <w:noProof/>
                <w:lang w:val="en-US"/>
              </w:rPr>
              <w:tab/>
            </w:r>
            <w:r w:rsidR="0016387D" w:rsidRPr="00432753">
              <w:rPr>
                <w:rStyle w:val="Hyperlink"/>
                <w:rFonts w:cstheme="majorBidi"/>
                <w:bCs/>
                <w:i/>
                <w:iCs/>
                <w:noProof/>
              </w:rPr>
              <w:t>Understanding of the issue before the conflict</w:t>
            </w:r>
            <w:r w:rsidR="0016387D">
              <w:rPr>
                <w:noProof/>
                <w:webHidden/>
              </w:rPr>
              <w:tab/>
            </w:r>
            <w:r w:rsidR="0016387D">
              <w:rPr>
                <w:noProof/>
                <w:webHidden/>
              </w:rPr>
              <w:fldChar w:fldCharType="begin"/>
            </w:r>
            <w:r w:rsidR="0016387D">
              <w:rPr>
                <w:noProof/>
                <w:webHidden/>
              </w:rPr>
              <w:instrText xml:space="preserve"> PAGEREF _Toc367720293 \h </w:instrText>
            </w:r>
            <w:r w:rsidR="0016387D">
              <w:rPr>
                <w:noProof/>
                <w:webHidden/>
              </w:rPr>
            </w:r>
            <w:r w:rsidR="0016387D">
              <w:rPr>
                <w:noProof/>
                <w:webHidden/>
              </w:rPr>
              <w:fldChar w:fldCharType="separate"/>
            </w:r>
            <w:r w:rsidR="0016387D">
              <w:rPr>
                <w:noProof/>
                <w:webHidden/>
              </w:rPr>
              <w:t>15</w:t>
            </w:r>
            <w:r w:rsidR="0016387D">
              <w:rPr>
                <w:noProof/>
                <w:webHidden/>
              </w:rPr>
              <w:fldChar w:fldCharType="end"/>
            </w:r>
          </w:hyperlink>
        </w:p>
        <w:p w:rsidR="0016387D" w:rsidRDefault="00FA6837">
          <w:pPr>
            <w:pStyle w:val="TOC3"/>
            <w:tabs>
              <w:tab w:val="right" w:leader="dot" w:pos="9016"/>
            </w:tabs>
            <w:rPr>
              <w:noProof/>
              <w:lang w:val="en-US"/>
            </w:rPr>
          </w:pPr>
          <w:hyperlink w:anchor="_Toc367720294" w:history="1">
            <w:r w:rsidR="0016387D" w:rsidRPr="00432753">
              <w:rPr>
                <w:rStyle w:val="Hyperlink"/>
                <w:rFonts w:eastAsia="MS Mincho"/>
                <w:i/>
                <w:iCs/>
                <w:noProof/>
              </w:rPr>
              <w:t>6.2 Understanding of the issue since the onset of the conflict</w:t>
            </w:r>
            <w:r w:rsidR="0016387D">
              <w:rPr>
                <w:noProof/>
                <w:webHidden/>
              </w:rPr>
              <w:tab/>
            </w:r>
            <w:r w:rsidR="0016387D">
              <w:rPr>
                <w:noProof/>
                <w:webHidden/>
              </w:rPr>
              <w:fldChar w:fldCharType="begin"/>
            </w:r>
            <w:r w:rsidR="0016387D">
              <w:rPr>
                <w:noProof/>
                <w:webHidden/>
              </w:rPr>
              <w:instrText xml:space="preserve"> PAGEREF _Toc367720294 \h </w:instrText>
            </w:r>
            <w:r w:rsidR="0016387D">
              <w:rPr>
                <w:noProof/>
                <w:webHidden/>
              </w:rPr>
            </w:r>
            <w:r w:rsidR="0016387D">
              <w:rPr>
                <w:noProof/>
                <w:webHidden/>
              </w:rPr>
              <w:fldChar w:fldCharType="separate"/>
            </w:r>
            <w:r w:rsidR="0016387D">
              <w:rPr>
                <w:noProof/>
                <w:webHidden/>
              </w:rPr>
              <w:t>15</w:t>
            </w:r>
            <w:r w:rsidR="0016387D">
              <w:rPr>
                <w:noProof/>
                <w:webHidden/>
              </w:rPr>
              <w:fldChar w:fldCharType="end"/>
            </w:r>
          </w:hyperlink>
        </w:p>
        <w:p w:rsidR="0016387D" w:rsidRDefault="00FA6837">
          <w:pPr>
            <w:pStyle w:val="TOC2"/>
            <w:rPr>
              <w:rFonts w:cstheme="minorBidi"/>
              <w:i w:val="0"/>
              <w:iCs w:val="0"/>
              <w:lang w:val="en-US"/>
            </w:rPr>
          </w:pPr>
          <w:hyperlink w:anchor="_Toc367720295" w:history="1">
            <w:r w:rsidR="0016387D" w:rsidRPr="00432753">
              <w:rPr>
                <w:rStyle w:val="Hyperlink"/>
                <w:bCs/>
              </w:rPr>
              <w:t>7</w:t>
            </w:r>
            <w:r w:rsidR="0016387D">
              <w:rPr>
                <w:rFonts w:cstheme="minorBidi"/>
                <w:i w:val="0"/>
                <w:iCs w:val="0"/>
                <w:lang w:val="en-US"/>
              </w:rPr>
              <w:tab/>
            </w:r>
            <w:r w:rsidR="0016387D" w:rsidRPr="00432753">
              <w:rPr>
                <w:rStyle w:val="Hyperlink"/>
                <w:bCs/>
              </w:rPr>
              <w:t>Psychosocial distress and mental disorders</w:t>
            </w:r>
            <w:r w:rsidR="0016387D">
              <w:rPr>
                <w:webHidden/>
              </w:rPr>
              <w:tab/>
            </w:r>
            <w:r w:rsidR="0016387D">
              <w:rPr>
                <w:webHidden/>
              </w:rPr>
              <w:fldChar w:fldCharType="begin"/>
            </w:r>
            <w:r w:rsidR="0016387D">
              <w:rPr>
                <w:webHidden/>
              </w:rPr>
              <w:instrText xml:space="preserve"> PAGEREF _Toc367720295 \h </w:instrText>
            </w:r>
            <w:r w:rsidR="0016387D">
              <w:rPr>
                <w:webHidden/>
              </w:rPr>
            </w:r>
            <w:r w:rsidR="0016387D">
              <w:rPr>
                <w:webHidden/>
              </w:rPr>
              <w:fldChar w:fldCharType="separate"/>
            </w:r>
            <w:r w:rsidR="0016387D">
              <w:rPr>
                <w:webHidden/>
              </w:rPr>
              <w:t>15</w:t>
            </w:r>
            <w:r w:rsidR="0016387D">
              <w:rPr>
                <w:webHidden/>
              </w:rPr>
              <w:fldChar w:fldCharType="end"/>
            </w:r>
          </w:hyperlink>
        </w:p>
        <w:p w:rsidR="0016387D" w:rsidRDefault="00FA6837">
          <w:pPr>
            <w:pStyle w:val="TOC3"/>
            <w:tabs>
              <w:tab w:val="left" w:pos="1100"/>
              <w:tab w:val="right" w:leader="dot" w:pos="9016"/>
            </w:tabs>
            <w:rPr>
              <w:noProof/>
              <w:lang w:val="en-US"/>
            </w:rPr>
          </w:pPr>
          <w:hyperlink w:anchor="_Toc367720296" w:history="1">
            <w:r w:rsidR="0016387D" w:rsidRPr="00432753">
              <w:rPr>
                <w:rStyle w:val="Hyperlink"/>
                <w:rFonts w:cstheme="majorBidi"/>
                <w:bCs/>
                <w:noProof/>
              </w:rPr>
              <w:t>7.1</w:t>
            </w:r>
            <w:r w:rsidR="0016387D">
              <w:rPr>
                <w:noProof/>
                <w:lang w:val="en-US"/>
              </w:rPr>
              <w:tab/>
            </w:r>
            <w:r w:rsidR="0016387D" w:rsidRPr="00432753">
              <w:rPr>
                <w:rStyle w:val="Hyperlink"/>
                <w:rFonts w:cstheme="majorBidi"/>
                <w:bCs/>
                <w:noProof/>
              </w:rPr>
              <w:t>Understanding of the issue before the conflict</w:t>
            </w:r>
            <w:r w:rsidR="0016387D">
              <w:rPr>
                <w:noProof/>
                <w:webHidden/>
              </w:rPr>
              <w:tab/>
            </w:r>
            <w:r w:rsidR="0016387D">
              <w:rPr>
                <w:noProof/>
                <w:webHidden/>
              </w:rPr>
              <w:fldChar w:fldCharType="begin"/>
            </w:r>
            <w:r w:rsidR="0016387D">
              <w:rPr>
                <w:noProof/>
                <w:webHidden/>
              </w:rPr>
              <w:instrText xml:space="preserve"> PAGEREF _Toc367720296 \h </w:instrText>
            </w:r>
            <w:r w:rsidR="0016387D">
              <w:rPr>
                <w:noProof/>
                <w:webHidden/>
              </w:rPr>
            </w:r>
            <w:r w:rsidR="0016387D">
              <w:rPr>
                <w:noProof/>
                <w:webHidden/>
              </w:rPr>
              <w:fldChar w:fldCharType="separate"/>
            </w:r>
            <w:r w:rsidR="0016387D">
              <w:rPr>
                <w:noProof/>
                <w:webHidden/>
              </w:rPr>
              <w:t>15</w:t>
            </w:r>
            <w:r w:rsidR="0016387D">
              <w:rPr>
                <w:noProof/>
                <w:webHidden/>
              </w:rPr>
              <w:fldChar w:fldCharType="end"/>
            </w:r>
          </w:hyperlink>
        </w:p>
        <w:p w:rsidR="0016387D" w:rsidRDefault="00FA6837">
          <w:pPr>
            <w:pStyle w:val="TOC3"/>
            <w:tabs>
              <w:tab w:val="right" w:leader="dot" w:pos="9016"/>
            </w:tabs>
            <w:rPr>
              <w:noProof/>
              <w:lang w:val="en-US"/>
            </w:rPr>
          </w:pPr>
          <w:hyperlink w:anchor="_Toc367720297" w:history="1">
            <w:r w:rsidR="0016387D" w:rsidRPr="00432753">
              <w:rPr>
                <w:rStyle w:val="Hyperlink"/>
                <w:rFonts w:cstheme="majorBidi"/>
                <w:bCs/>
                <w:noProof/>
              </w:rPr>
              <w:t>7.2 Understanding of the issue since the onset of the conflict</w:t>
            </w:r>
            <w:r w:rsidR="0016387D">
              <w:rPr>
                <w:noProof/>
                <w:webHidden/>
              </w:rPr>
              <w:tab/>
            </w:r>
            <w:r w:rsidR="0016387D">
              <w:rPr>
                <w:noProof/>
                <w:webHidden/>
              </w:rPr>
              <w:fldChar w:fldCharType="begin"/>
            </w:r>
            <w:r w:rsidR="0016387D">
              <w:rPr>
                <w:noProof/>
                <w:webHidden/>
              </w:rPr>
              <w:instrText xml:space="preserve"> PAGEREF _Toc367720297 \h </w:instrText>
            </w:r>
            <w:r w:rsidR="0016387D">
              <w:rPr>
                <w:noProof/>
                <w:webHidden/>
              </w:rPr>
            </w:r>
            <w:r w:rsidR="0016387D">
              <w:rPr>
                <w:noProof/>
                <w:webHidden/>
              </w:rPr>
              <w:fldChar w:fldCharType="separate"/>
            </w:r>
            <w:r w:rsidR="0016387D">
              <w:rPr>
                <w:noProof/>
                <w:webHidden/>
              </w:rPr>
              <w:t>16</w:t>
            </w:r>
            <w:r w:rsidR="0016387D">
              <w:rPr>
                <w:noProof/>
                <w:webHidden/>
              </w:rPr>
              <w:fldChar w:fldCharType="end"/>
            </w:r>
          </w:hyperlink>
        </w:p>
        <w:p w:rsidR="0016387D" w:rsidRDefault="00FA6837">
          <w:pPr>
            <w:pStyle w:val="TOC2"/>
            <w:rPr>
              <w:rFonts w:cstheme="minorBidi"/>
              <w:i w:val="0"/>
              <w:iCs w:val="0"/>
              <w:lang w:val="en-US"/>
            </w:rPr>
          </w:pPr>
          <w:hyperlink w:anchor="_Toc367720298" w:history="1">
            <w:r w:rsidR="0016387D" w:rsidRPr="00432753">
              <w:rPr>
                <w:rStyle w:val="Hyperlink"/>
                <w:bCs/>
              </w:rPr>
              <w:t>8</w:t>
            </w:r>
            <w:r w:rsidR="0016387D">
              <w:rPr>
                <w:rFonts w:cstheme="minorBidi"/>
                <w:i w:val="0"/>
                <w:iCs w:val="0"/>
                <w:lang w:val="en-US"/>
              </w:rPr>
              <w:tab/>
            </w:r>
            <w:r w:rsidR="0016387D" w:rsidRPr="00432753">
              <w:rPr>
                <w:rStyle w:val="Hyperlink"/>
                <w:bCs/>
              </w:rPr>
              <w:t>Access to Information &amp; Services</w:t>
            </w:r>
            <w:r w:rsidR="0016387D">
              <w:rPr>
                <w:webHidden/>
              </w:rPr>
              <w:tab/>
            </w:r>
            <w:r w:rsidR="0016387D">
              <w:rPr>
                <w:webHidden/>
              </w:rPr>
              <w:fldChar w:fldCharType="begin"/>
            </w:r>
            <w:r w:rsidR="0016387D">
              <w:rPr>
                <w:webHidden/>
              </w:rPr>
              <w:instrText xml:space="preserve"> PAGEREF _Toc367720298 \h </w:instrText>
            </w:r>
            <w:r w:rsidR="0016387D">
              <w:rPr>
                <w:webHidden/>
              </w:rPr>
            </w:r>
            <w:r w:rsidR="0016387D">
              <w:rPr>
                <w:webHidden/>
              </w:rPr>
              <w:fldChar w:fldCharType="separate"/>
            </w:r>
            <w:r w:rsidR="0016387D">
              <w:rPr>
                <w:webHidden/>
              </w:rPr>
              <w:t>17</w:t>
            </w:r>
            <w:r w:rsidR="0016387D">
              <w:rPr>
                <w:webHidden/>
              </w:rPr>
              <w:fldChar w:fldCharType="end"/>
            </w:r>
          </w:hyperlink>
        </w:p>
        <w:p w:rsidR="0016387D" w:rsidRDefault="00FA6837">
          <w:pPr>
            <w:pStyle w:val="TOC3"/>
            <w:tabs>
              <w:tab w:val="left" w:pos="1100"/>
              <w:tab w:val="right" w:leader="dot" w:pos="9016"/>
            </w:tabs>
            <w:rPr>
              <w:noProof/>
              <w:lang w:val="en-US"/>
            </w:rPr>
          </w:pPr>
          <w:hyperlink w:anchor="_Toc367720299" w:history="1">
            <w:r w:rsidR="0016387D" w:rsidRPr="00432753">
              <w:rPr>
                <w:rStyle w:val="Hyperlink"/>
                <w:rFonts w:cstheme="majorBidi"/>
                <w:bCs/>
                <w:i/>
                <w:iCs/>
                <w:noProof/>
              </w:rPr>
              <w:t>8.1</w:t>
            </w:r>
            <w:r w:rsidR="0016387D">
              <w:rPr>
                <w:noProof/>
                <w:lang w:val="en-US"/>
              </w:rPr>
              <w:tab/>
            </w:r>
            <w:r w:rsidR="0016387D" w:rsidRPr="00432753">
              <w:rPr>
                <w:rStyle w:val="Hyperlink"/>
                <w:rFonts w:cstheme="majorBidi"/>
                <w:bCs/>
                <w:i/>
                <w:iCs/>
                <w:noProof/>
              </w:rPr>
              <w:t>Understanding prior to the conflict</w:t>
            </w:r>
            <w:r w:rsidR="0016387D">
              <w:rPr>
                <w:noProof/>
                <w:webHidden/>
              </w:rPr>
              <w:tab/>
            </w:r>
            <w:r w:rsidR="0016387D">
              <w:rPr>
                <w:noProof/>
                <w:webHidden/>
              </w:rPr>
              <w:fldChar w:fldCharType="begin"/>
            </w:r>
            <w:r w:rsidR="0016387D">
              <w:rPr>
                <w:noProof/>
                <w:webHidden/>
              </w:rPr>
              <w:instrText xml:space="preserve"> PAGEREF _Toc367720299 \h </w:instrText>
            </w:r>
            <w:r w:rsidR="0016387D">
              <w:rPr>
                <w:noProof/>
                <w:webHidden/>
              </w:rPr>
            </w:r>
            <w:r w:rsidR="0016387D">
              <w:rPr>
                <w:noProof/>
                <w:webHidden/>
              </w:rPr>
              <w:fldChar w:fldCharType="separate"/>
            </w:r>
            <w:r w:rsidR="0016387D">
              <w:rPr>
                <w:noProof/>
                <w:webHidden/>
              </w:rPr>
              <w:t>17</w:t>
            </w:r>
            <w:r w:rsidR="0016387D">
              <w:rPr>
                <w:noProof/>
                <w:webHidden/>
              </w:rPr>
              <w:fldChar w:fldCharType="end"/>
            </w:r>
          </w:hyperlink>
        </w:p>
        <w:p w:rsidR="0016387D" w:rsidRDefault="00FA6837">
          <w:pPr>
            <w:pStyle w:val="TOC3"/>
            <w:tabs>
              <w:tab w:val="left" w:pos="1100"/>
              <w:tab w:val="right" w:leader="dot" w:pos="9016"/>
            </w:tabs>
            <w:rPr>
              <w:noProof/>
              <w:lang w:val="en-US"/>
            </w:rPr>
          </w:pPr>
          <w:hyperlink w:anchor="_Toc367720300" w:history="1">
            <w:r w:rsidR="0016387D" w:rsidRPr="00432753">
              <w:rPr>
                <w:rStyle w:val="Hyperlink"/>
                <w:rFonts w:cstheme="majorBidi"/>
                <w:bCs/>
                <w:i/>
                <w:iCs/>
                <w:noProof/>
              </w:rPr>
              <w:t>8.2</w:t>
            </w:r>
            <w:r w:rsidR="0016387D">
              <w:rPr>
                <w:noProof/>
                <w:lang w:val="en-US"/>
              </w:rPr>
              <w:tab/>
            </w:r>
            <w:r w:rsidR="0016387D" w:rsidRPr="00432753">
              <w:rPr>
                <w:rStyle w:val="Hyperlink"/>
                <w:rFonts w:cstheme="majorBidi"/>
                <w:bCs/>
                <w:i/>
                <w:iCs/>
                <w:noProof/>
              </w:rPr>
              <w:t>Understanding since the conflict</w:t>
            </w:r>
            <w:r w:rsidR="0016387D">
              <w:rPr>
                <w:noProof/>
                <w:webHidden/>
              </w:rPr>
              <w:tab/>
            </w:r>
            <w:r w:rsidR="0016387D">
              <w:rPr>
                <w:noProof/>
                <w:webHidden/>
              </w:rPr>
              <w:fldChar w:fldCharType="begin"/>
            </w:r>
            <w:r w:rsidR="0016387D">
              <w:rPr>
                <w:noProof/>
                <w:webHidden/>
              </w:rPr>
              <w:instrText xml:space="preserve"> PAGEREF _Toc367720300 \h </w:instrText>
            </w:r>
            <w:r w:rsidR="0016387D">
              <w:rPr>
                <w:noProof/>
                <w:webHidden/>
              </w:rPr>
            </w:r>
            <w:r w:rsidR="0016387D">
              <w:rPr>
                <w:noProof/>
                <w:webHidden/>
              </w:rPr>
              <w:fldChar w:fldCharType="separate"/>
            </w:r>
            <w:r w:rsidR="0016387D">
              <w:rPr>
                <w:noProof/>
                <w:webHidden/>
              </w:rPr>
              <w:t>19</w:t>
            </w:r>
            <w:r w:rsidR="0016387D">
              <w:rPr>
                <w:noProof/>
                <w:webHidden/>
              </w:rPr>
              <w:fldChar w:fldCharType="end"/>
            </w:r>
          </w:hyperlink>
        </w:p>
        <w:p w:rsidR="00294445" w:rsidRPr="009A50F9" w:rsidRDefault="00294445" w:rsidP="00D66F25">
          <w:pPr>
            <w:jc w:val="both"/>
          </w:pPr>
          <w:r w:rsidRPr="009A50F9">
            <w:rPr>
              <w:b/>
              <w:bCs/>
              <w:noProof/>
            </w:rPr>
            <w:fldChar w:fldCharType="end"/>
          </w:r>
        </w:p>
      </w:sdtContent>
    </w:sdt>
    <w:p w:rsidR="00207046" w:rsidRPr="009A50F9" w:rsidRDefault="00207046" w:rsidP="00D66F25">
      <w:pPr>
        <w:ind w:right="1016"/>
        <w:jc w:val="both"/>
        <w:rPr>
          <w:rFonts w:cstheme="majorBidi"/>
          <w:b/>
          <w:bCs/>
          <w:u w:val="single"/>
        </w:rPr>
      </w:pPr>
    </w:p>
    <w:p w:rsidR="007253D8" w:rsidRPr="009A50F9" w:rsidRDefault="005922FC" w:rsidP="007D08AB">
      <w:pPr>
        <w:pBdr>
          <w:top w:val="single" w:sz="4" w:space="3" w:color="auto"/>
          <w:left w:val="single" w:sz="4" w:space="4" w:color="auto"/>
          <w:bottom w:val="single" w:sz="4" w:space="1" w:color="auto"/>
          <w:right w:val="single" w:sz="4" w:space="4" w:color="auto"/>
        </w:pBdr>
        <w:jc w:val="both"/>
        <w:rPr>
          <w:rFonts w:cstheme="majorBidi"/>
        </w:rPr>
      </w:pPr>
      <w:r w:rsidRPr="009A50F9">
        <w:rPr>
          <w:rFonts w:cstheme="majorBidi"/>
        </w:rPr>
        <w:t xml:space="preserve">This desk review aims at providing a general picture of </w:t>
      </w:r>
      <w:r w:rsidR="00E56F98" w:rsidRPr="009A50F9">
        <w:rPr>
          <w:rFonts w:cstheme="majorBidi"/>
        </w:rPr>
        <w:t xml:space="preserve">child protection </w:t>
      </w:r>
      <w:r w:rsidRPr="009A50F9">
        <w:rPr>
          <w:rFonts w:cstheme="majorBidi"/>
        </w:rPr>
        <w:t xml:space="preserve">issues inside Syria. It provides a basis for a forthcoming </w:t>
      </w:r>
      <w:r w:rsidR="00E56F98" w:rsidRPr="009A50F9">
        <w:rPr>
          <w:rFonts w:cstheme="majorBidi"/>
        </w:rPr>
        <w:t xml:space="preserve">child protection </w:t>
      </w:r>
      <w:r w:rsidRPr="009A50F9">
        <w:rPr>
          <w:rFonts w:cstheme="majorBidi"/>
        </w:rPr>
        <w:t xml:space="preserve">assessment. The information presented here is not to be taken as definitive but should facilitate a better understanding of trends and scale of </w:t>
      </w:r>
      <w:r w:rsidR="00E56F98" w:rsidRPr="009A50F9">
        <w:rPr>
          <w:rFonts w:cstheme="majorBidi"/>
        </w:rPr>
        <w:t xml:space="preserve">child protection </w:t>
      </w:r>
      <w:r w:rsidRPr="009A50F9">
        <w:rPr>
          <w:rFonts w:cstheme="majorBidi"/>
        </w:rPr>
        <w:t>needs and capacities and priorities for programming. It should be considered as a briefing tool, among others, for staff and organisations in the field.</w:t>
      </w:r>
    </w:p>
    <w:p w:rsidR="003827E3" w:rsidRPr="009A50F9" w:rsidRDefault="003827E3" w:rsidP="00D66F25">
      <w:pPr>
        <w:pBdr>
          <w:top w:val="single" w:sz="4" w:space="1" w:color="auto"/>
          <w:left w:val="single" w:sz="4" w:space="4" w:color="auto"/>
          <w:bottom w:val="single" w:sz="4" w:space="1" w:color="auto"/>
          <w:right w:val="single" w:sz="4" w:space="4" w:color="auto"/>
        </w:pBdr>
        <w:jc w:val="both"/>
        <w:rPr>
          <w:rFonts w:cstheme="majorBidi"/>
        </w:rPr>
        <w:sectPr w:rsidR="003827E3" w:rsidRPr="009A50F9" w:rsidSect="00966539">
          <w:headerReference w:type="default" r:id="rId9"/>
          <w:footerReference w:type="even" r:id="rId10"/>
          <w:footerReference w:type="default" r:id="rId11"/>
          <w:type w:val="continuous"/>
          <w:pgSz w:w="11906" w:h="16838"/>
          <w:pgMar w:top="1440" w:right="1440" w:bottom="1440" w:left="1440" w:header="720" w:footer="720" w:gutter="0"/>
          <w:cols w:space="720"/>
          <w:titlePg/>
          <w:docGrid w:linePitch="360"/>
        </w:sectPr>
      </w:pPr>
    </w:p>
    <w:p w:rsidR="00CC345D" w:rsidRPr="00343052" w:rsidRDefault="00CC345D" w:rsidP="00D66F25">
      <w:pPr>
        <w:pStyle w:val="Heading1"/>
        <w:jc w:val="both"/>
        <w:rPr>
          <w:rFonts w:asciiTheme="minorHAnsi" w:hAnsiTheme="minorHAnsi"/>
          <w:color w:val="1F497D" w:themeColor="text2"/>
          <w:sz w:val="22"/>
          <w:szCs w:val="22"/>
          <w:u w:val="single"/>
        </w:rPr>
      </w:pPr>
      <w:bookmarkStart w:id="0" w:name="_Toc367720276"/>
      <w:r w:rsidRPr="00343052">
        <w:rPr>
          <w:rFonts w:asciiTheme="minorHAnsi" w:hAnsiTheme="minorHAnsi"/>
          <w:color w:val="1F497D" w:themeColor="text2"/>
          <w:sz w:val="22"/>
          <w:szCs w:val="22"/>
          <w:u w:val="single"/>
        </w:rPr>
        <w:lastRenderedPageBreak/>
        <w:t>Child Protection Issues</w:t>
      </w:r>
      <w:bookmarkEnd w:id="0"/>
    </w:p>
    <w:p w:rsidR="00CC345D" w:rsidRPr="00380A79" w:rsidRDefault="00CC345D" w:rsidP="00D66F25">
      <w:pPr>
        <w:pStyle w:val="DeskReview2"/>
        <w:numPr>
          <w:ilvl w:val="0"/>
          <w:numId w:val="32"/>
        </w:numPr>
        <w:spacing w:line="276" w:lineRule="auto"/>
        <w:ind w:firstLine="0"/>
        <w:jc w:val="both"/>
        <w:outlineLvl w:val="1"/>
        <w:rPr>
          <w:rFonts w:asciiTheme="minorHAnsi" w:hAnsiTheme="minorHAnsi" w:cstheme="majorBidi"/>
          <w:bCs/>
          <w:color w:val="1F497D" w:themeColor="text2"/>
        </w:rPr>
      </w:pPr>
      <w:bookmarkStart w:id="1" w:name="_Toc367720277"/>
      <w:r w:rsidRPr="00380A79">
        <w:rPr>
          <w:rFonts w:asciiTheme="minorHAnsi" w:hAnsiTheme="minorHAnsi" w:cstheme="majorBidi"/>
          <w:bCs/>
          <w:i/>
          <w:iCs/>
          <w:color w:val="1F497D" w:themeColor="text2"/>
        </w:rPr>
        <w:t>Separation of children from their caregivers</w:t>
      </w:r>
      <w:bookmarkEnd w:id="1"/>
    </w:p>
    <w:p w:rsidR="00CC345D" w:rsidRPr="00343052" w:rsidRDefault="00CC345D" w:rsidP="00D66F25">
      <w:pPr>
        <w:pStyle w:val="DeskReview2"/>
        <w:numPr>
          <w:ilvl w:val="1"/>
          <w:numId w:val="24"/>
        </w:numPr>
        <w:spacing w:line="276" w:lineRule="auto"/>
        <w:ind w:firstLine="0"/>
        <w:jc w:val="both"/>
        <w:outlineLvl w:val="2"/>
        <w:rPr>
          <w:rFonts w:asciiTheme="minorHAnsi" w:hAnsiTheme="minorHAnsi" w:cstheme="majorBidi"/>
          <w:bCs/>
          <w:i/>
          <w:iCs/>
          <w:color w:val="1F497D" w:themeColor="text2"/>
          <w:sz w:val="22"/>
          <w:szCs w:val="22"/>
        </w:rPr>
      </w:pPr>
      <w:bookmarkStart w:id="2" w:name="_Toc358663757"/>
      <w:bookmarkStart w:id="3" w:name="_Toc367720278"/>
      <w:r w:rsidRPr="00343052">
        <w:rPr>
          <w:rFonts w:asciiTheme="minorHAnsi" w:hAnsiTheme="minorHAnsi" w:cstheme="majorBidi"/>
          <w:bCs/>
          <w:i/>
          <w:iCs/>
          <w:color w:val="1F497D" w:themeColor="text2"/>
          <w:sz w:val="22"/>
          <w:szCs w:val="22"/>
        </w:rPr>
        <w:t>Understanding of the issue prior to the conflict</w:t>
      </w:r>
      <w:bookmarkEnd w:id="2"/>
      <w:bookmarkEnd w:id="3"/>
    </w:p>
    <w:p w:rsidR="00FD6CE2" w:rsidRPr="00343052" w:rsidRDefault="00FD6CE2" w:rsidP="00B9296D">
      <w:pPr>
        <w:jc w:val="both"/>
        <w:rPr>
          <w:rFonts w:cstheme="majorBidi"/>
          <w:lang w:val="en-US"/>
        </w:rPr>
      </w:pPr>
      <w:r w:rsidRPr="00343052">
        <w:rPr>
          <w:rFonts w:cstheme="majorBidi"/>
          <w:b/>
          <w:bCs/>
          <w:lang w:val="en-US"/>
        </w:rPr>
        <w:t>Children without parental care:</w:t>
      </w:r>
      <w:r w:rsidRPr="00343052">
        <w:rPr>
          <w:rFonts w:cstheme="majorBidi"/>
          <w:lang w:val="en-US"/>
        </w:rPr>
        <w:t xml:space="preserve"> Children are separated from their caregivers for a wide range of reasons, including poverty, the death of </w:t>
      </w:r>
      <w:r w:rsidR="00B73642" w:rsidRPr="00343052">
        <w:rPr>
          <w:rFonts w:cstheme="majorBidi"/>
          <w:lang w:val="en-US"/>
        </w:rPr>
        <w:t xml:space="preserve">one or both </w:t>
      </w:r>
      <w:r w:rsidRPr="00343052">
        <w:rPr>
          <w:rFonts w:cstheme="majorBidi"/>
          <w:lang w:val="en-US"/>
        </w:rPr>
        <w:t>parents and abandonment. Reasons for abandoning children include the fear of honor crimes, where unmarried pregnant women and girls choose to abandon their baby rather than risk rejection or physical violence from family that could result in death. Another group of children at heightened risk of abandonment are children born into “</w:t>
      </w:r>
      <w:proofErr w:type="spellStart"/>
      <w:r w:rsidRPr="00343052">
        <w:rPr>
          <w:rFonts w:cstheme="majorBidi"/>
          <w:i/>
          <w:iCs/>
          <w:lang w:val="en-US"/>
        </w:rPr>
        <w:t>zawaj</w:t>
      </w:r>
      <w:proofErr w:type="spellEnd"/>
      <w:r w:rsidRPr="00343052">
        <w:rPr>
          <w:rFonts w:cstheme="majorBidi"/>
          <w:i/>
          <w:iCs/>
          <w:lang w:val="en-US"/>
        </w:rPr>
        <w:t xml:space="preserve"> al </w:t>
      </w:r>
      <w:proofErr w:type="spellStart"/>
      <w:r w:rsidRPr="00343052">
        <w:rPr>
          <w:rFonts w:cstheme="majorBidi"/>
          <w:i/>
          <w:iCs/>
          <w:lang w:val="en-US"/>
        </w:rPr>
        <w:t>muta’a</w:t>
      </w:r>
      <w:proofErr w:type="spellEnd"/>
      <w:r w:rsidRPr="00343052">
        <w:rPr>
          <w:rFonts w:cstheme="majorBidi"/>
          <w:lang w:val="en-US"/>
        </w:rPr>
        <w:t>”</w:t>
      </w:r>
      <w:r w:rsidRPr="00343052">
        <w:rPr>
          <w:rFonts w:cstheme="majorBidi"/>
          <w:color w:val="1F497D" w:themeColor="text2"/>
          <w:lang w:val="en-US"/>
        </w:rPr>
        <w:t xml:space="preserve"> </w:t>
      </w:r>
      <w:r w:rsidRPr="00343052">
        <w:rPr>
          <w:rFonts w:cstheme="majorBidi"/>
          <w:lang w:val="en-US"/>
        </w:rPr>
        <w:t>or temporary marriages, where women and girls are contracted often in exchange for money. At the end of the contracted period the marriage ends automatically with the man having no further responsibilities towards his wife or children from the union.</w:t>
      </w:r>
      <w:r w:rsidRPr="00343052">
        <w:rPr>
          <w:rStyle w:val="FootnoteReference"/>
          <w:rFonts w:cstheme="majorBidi"/>
          <w:lang w:val="en-US"/>
        </w:rPr>
        <w:footnoteReference w:id="1"/>
      </w:r>
    </w:p>
    <w:p w:rsidR="00B73642" w:rsidRPr="00343052" w:rsidRDefault="00B73642" w:rsidP="00B9296D">
      <w:pPr>
        <w:jc w:val="both"/>
        <w:rPr>
          <w:rFonts w:cs="Helv"/>
          <w:color w:val="000000"/>
          <w:lang w:val="en-US"/>
        </w:rPr>
      </w:pPr>
      <w:r w:rsidRPr="00343052">
        <w:rPr>
          <w:rFonts w:cstheme="majorBidi"/>
          <w:b/>
          <w:bCs/>
          <w:lang w:val="en-US"/>
        </w:rPr>
        <w:t>Care arrangements:</w:t>
      </w:r>
      <w:r w:rsidRPr="00343052">
        <w:rPr>
          <w:rFonts w:cstheme="majorBidi"/>
          <w:lang w:val="en-US"/>
        </w:rPr>
        <w:t xml:space="preserve"> </w:t>
      </w:r>
      <w:r w:rsidRPr="00343052">
        <w:rPr>
          <w:rFonts w:cs="Helv"/>
          <w:color w:val="000000"/>
          <w:lang w:val="en-US"/>
        </w:rPr>
        <w:t>The vast majority of children without parental care are looked after on an informal basis, whether by grandparents or other members of the extended family or persons or families in the wider community, and as such it is extremely difficult to evaluate the number of children in substitute family-based care.</w:t>
      </w:r>
      <w:r w:rsidR="00B9296D" w:rsidRPr="00343052">
        <w:rPr>
          <w:rStyle w:val="FootnoteReference"/>
          <w:rFonts w:cstheme="majorBidi"/>
          <w:lang w:val="en-US"/>
        </w:rPr>
        <w:t xml:space="preserve"> </w:t>
      </w:r>
      <w:r w:rsidR="00B9296D" w:rsidRPr="00343052">
        <w:rPr>
          <w:rStyle w:val="FootnoteReference"/>
          <w:rFonts w:cstheme="majorBidi"/>
          <w:lang w:val="en-US"/>
        </w:rPr>
        <w:footnoteReference w:id="2"/>
      </w:r>
      <w:r w:rsidRPr="00343052">
        <w:rPr>
          <w:rFonts w:cs="Helv"/>
          <w:color w:val="000000"/>
          <w:lang w:val="en-US"/>
        </w:rPr>
        <w:t xml:space="preserve"> </w:t>
      </w:r>
    </w:p>
    <w:p w:rsidR="00B73642" w:rsidRPr="00343052" w:rsidRDefault="00B73642" w:rsidP="00ED5D27">
      <w:pPr>
        <w:jc w:val="both"/>
        <w:rPr>
          <w:rFonts w:cs="Helv"/>
          <w:color w:val="000000"/>
          <w:lang w:val="en-US"/>
        </w:rPr>
      </w:pPr>
      <w:r w:rsidRPr="00343052">
        <w:rPr>
          <w:rFonts w:cs="Helv"/>
          <w:b/>
          <w:bCs/>
          <w:i/>
          <w:iCs/>
          <w:color w:val="000000"/>
          <w:lang w:val="en-US"/>
        </w:rPr>
        <w:t xml:space="preserve">External </w:t>
      </w:r>
      <w:proofErr w:type="spellStart"/>
      <w:r w:rsidRPr="00343052">
        <w:rPr>
          <w:rFonts w:cs="Helv"/>
          <w:b/>
          <w:bCs/>
          <w:i/>
          <w:iCs/>
          <w:color w:val="000000"/>
          <w:lang w:val="en-US"/>
        </w:rPr>
        <w:t>kafala</w:t>
      </w:r>
      <w:proofErr w:type="spellEnd"/>
      <w:r w:rsidRPr="00343052">
        <w:rPr>
          <w:rFonts w:cs="Helv"/>
          <w:color w:val="000000"/>
          <w:lang w:val="en-US"/>
        </w:rPr>
        <w:t xml:space="preserve"> is </w:t>
      </w:r>
      <w:r w:rsidR="00B9296D" w:rsidRPr="00343052">
        <w:rPr>
          <w:rFonts w:cs="Helv"/>
          <w:color w:val="000000"/>
          <w:lang w:val="en-US"/>
        </w:rPr>
        <w:t>used</w:t>
      </w:r>
      <w:r w:rsidRPr="00343052">
        <w:rPr>
          <w:rFonts w:cs="Helv"/>
          <w:color w:val="000000"/>
          <w:lang w:val="en-US"/>
        </w:rPr>
        <w:t xml:space="preserve"> </w:t>
      </w:r>
      <w:r w:rsidR="00B9296D" w:rsidRPr="00343052">
        <w:rPr>
          <w:rFonts w:cs="Helv"/>
          <w:color w:val="000000"/>
          <w:lang w:val="en-US"/>
        </w:rPr>
        <w:t xml:space="preserve">to </w:t>
      </w:r>
      <w:r w:rsidRPr="00343052">
        <w:rPr>
          <w:rFonts w:cs="Helv"/>
          <w:color w:val="000000"/>
          <w:lang w:val="en-US"/>
        </w:rPr>
        <w:t>enabl</w:t>
      </w:r>
      <w:r w:rsidR="00B9296D" w:rsidRPr="00343052">
        <w:rPr>
          <w:rFonts w:cs="Helv"/>
          <w:color w:val="000000"/>
          <w:lang w:val="en-US"/>
        </w:rPr>
        <w:t>e</w:t>
      </w:r>
      <w:r w:rsidRPr="00343052">
        <w:rPr>
          <w:rFonts w:cs="Helv"/>
          <w:color w:val="000000"/>
          <w:lang w:val="en-US"/>
        </w:rPr>
        <w:t xml:space="preserve"> a child to remain with his/her parents or extended family. It involves a private person (</w:t>
      </w:r>
      <w:proofErr w:type="spellStart"/>
      <w:r w:rsidRPr="00343052">
        <w:rPr>
          <w:rFonts w:cs="Helv"/>
          <w:color w:val="000000"/>
          <w:lang w:val="en-US"/>
        </w:rPr>
        <w:t>kafil</w:t>
      </w:r>
      <w:proofErr w:type="spellEnd"/>
      <w:r w:rsidRPr="00343052">
        <w:rPr>
          <w:rFonts w:cs="Helv"/>
          <w:color w:val="000000"/>
          <w:lang w:val="en-US"/>
        </w:rPr>
        <w:t xml:space="preserve">) providing the family with regular financial support for the child’s care.  No overall figures are available as to the number of children supported in this way, and it is not clear, even in general terms, how widespread external </w:t>
      </w:r>
      <w:proofErr w:type="spellStart"/>
      <w:r w:rsidRPr="00343052">
        <w:rPr>
          <w:rFonts w:cs="Helv"/>
          <w:color w:val="000000"/>
          <w:lang w:val="en-US"/>
        </w:rPr>
        <w:t>kafala</w:t>
      </w:r>
      <w:proofErr w:type="spellEnd"/>
      <w:r w:rsidRPr="00343052">
        <w:rPr>
          <w:rFonts w:cs="Helv"/>
          <w:color w:val="000000"/>
          <w:lang w:val="en-US"/>
        </w:rPr>
        <w:t xml:space="preserve"> is and in particular what extent its coverage corresponds to the actual need for this kind of support. An assessment described </w:t>
      </w:r>
      <w:r w:rsidR="00B9296D" w:rsidRPr="00343052">
        <w:rPr>
          <w:rFonts w:cs="Helv"/>
          <w:color w:val="000000"/>
          <w:lang w:val="en-US"/>
        </w:rPr>
        <w:t xml:space="preserve">several examples </w:t>
      </w:r>
      <w:r w:rsidRPr="00343052">
        <w:rPr>
          <w:rFonts w:cs="Helv"/>
          <w:color w:val="000000"/>
          <w:lang w:val="en-US"/>
        </w:rPr>
        <w:t xml:space="preserve">of how it is organized – in one case an NGO had designed a </w:t>
      </w:r>
      <w:proofErr w:type="spellStart"/>
      <w:r w:rsidRPr="00343052">
        <w:rPr>
          <w:rFonts w:cs="Helv"/>
          <w:color w:val="000000"/>
          <w:lang w:val="en-US"/>
        </w:rPr>
        <w:t>programme</w:t>
      </w:r>
      <w:proofErr w:type="spellEnd"/>
      <w:r w:rsidRPr="00343052">
        <w:rPr>
          <w:rFonts w:cs="Helv"/>
          <w:color w:val="000000"/>
          <w:lang w:val="en-US"/>
        </w:rPr>
        <w:t xml:space="preserve"> to provide external </w:t>
      </w:r>
      <w:proofErr w:type="spellStart"/>
      <w:r w:rsidRPr="00343052">
        <w:rPr>
          <w:rFonts w:cs="Helv"/>
          <w:color w:val="000000"/>
          <w:lang w:val="en-US"/>
        </w:rPr>
        <w:t>kafala</w:t>
      </w:r>
      <w:proofErr w:type="spellEnd"/>
      <w:r w:rsidRPr="00343052">
        <w:rPr>
          <w:rFonts w:cs="Helv"/>
          <w:color w:val="000000"/>
          <w:lang w:val="en-US"/>
        </w:rPr>
        <w:t xml:space="preserve"> for children who were looked after within their vulnerable extended families and focused on broad care needs- physical, educational, health and psychological. At the time of the assessment it was supporting over 3000 children.</w:t>
      </w:r>
      <w:r w:rsidR="00B9296D" w:rsidRPr="00343052">
        <w:rPr>
          <w:rStyle w:val="FootnoteReference"/>
          <w:rFonts w:cs="Helv"/>
          <w:color w:val="000000"/>
          <w:lang w:val="en-US"/>
        </w:rPr>
        <w:footnoteReference w:id="3"/>
      </w:r>
    </w:p>
    <w:p w:rsidR="00B73642" w:rsidRPr="00343052" w:rsidRDefault="00FD6CE2" w:rsidP="007D08AB">
      <w:pPr>
        <w:jc w:val="both"/>
        <w:rPr>
          <w:rFonts w:cs="Helv"/>
          <w:color w:val="000000"/>
          <w:lang w:val="en-US"/>
        </w:rPr>
      </w:pPr>
      <w:r w:rsidRPr="00343052">
        <w:rPr>
          <w:rFonts w:cstheme="majorBidi"/>
          <w:lang w:val="en-US"/>
        </w:rPr>
        <w:t xml:space="preserve">In cases of abandonment, the Civil Code requires the child to be handed over to the nearest security agency or village mayor. The child is then sent to a specialized care institution. The Syrian Personal Status Law </w:t>
      </w:r>
      <w:r w:rsidR="00B9296D" w:rsidRPr="00343052">
        <w:rPr>
          <w:rFonts w:cstheme="majorBidi"/>
          <w:lang w:val="en-US"/>
        </w:rPr>
        <w:t xml:space="preserve">allows </w:t>
      </w:r>
      <w:proofErr w:type="spellStart"/>
      <w:r w:rsidRPr="00343052">
        <w:rPr>
          <w:rFonts w:cstheme="majorBidi"/>
          <w:b/>
          <w:bCs/>
          <w:i/>
          <w:iCs/>
          <w:lang w:val="en-US"/>
        </w:rPr>
        <w:t>kafala</w:t>
      </w:r>
      <w:proofErr w:type="spellEnd"/>
      <w:r w:rsidRPr="00343052">
        <w:rPr>
          <w:rFonts w:cstheme="majorBidi"/>
          <w:i/>
          <w:iCs/>
          <w:lang w:val="en-US"/>
        </w:rPr>
        <w:t xml:space="preserve"> </w:t>
      </w:r>
      <w:r w:rsidRPr="00343052">
        <w:rPr>
          <w:rFonts w:cstheme="majorBidi"/>
          <w:lang w:val="en-US"/>
        </w:rPr>
        <w:t>for abandoned children and other children in need of permanent alternative care, whereby families provide care and protection for children as though they are their own, but unlike in adoption children are not entitled to take on the family’s name or to claim inheritance</w:t>
      </w:r>
      <w:r w:rsidRPr="00343052">
        <w:rPr>
          <w:rStyle w:val="FootnoteReference"/>
          <w:rFonts w:eastAsia="KozGoPr6N-Regular" w:cstheme="majorBidi"/>
          <w:lang w:val="en-US"/>
        </w:rPr>
        <w:footnoteReference w:id="4"/>
      </w:r>
      <w:r w:rsidR="007D08AB" w:rsidRPr="00343052">
        <w:rPr>
          <w:rFonts w:cstheme="majorBidi"/>
          <w:lang w:val="en-US"/>
        </w:rPr>
        <w:t>;</w:t>
      </w:r>
      <w:r w:rsidR="00B9296D" w:rsidRPr="00343052">
        <w:rPr>
          <w:rFonts w:cstheme="majorBidi"/>
          <w:lang w:val="en-US"/>
        </w:rPr>
        <w:t xml:space="preserve"> </w:t>
      </w:r>
      <w:r w:rsidR="007D08AB" w:rsidRPr="00343052">
        <w:rPr>
          <w:rFonts w:cstheme="majorBidi"/>
          <w:lang w:val="en-US"/>
        </w:rPr>
        <w:t>the of</w:t>
      </w:r>
      <w:r w:rsidR="00B9296D" w:rsidRPr="00343052">
        <w:rPr>
          <w:rFonts w:cstheme="majorBidi"/>
          <w:lang w:val="en-US"/>
        </w:rPr>
        <w:t xml:space="preserve"> prevalence </w:t>
      </w:r>
      <w:r w:rsidR="007D08AB" w:rsidRPr="00343052">
        <w:rPr>
          <w:rFonts w:cstheme="majorBidi"/>
          <w:lang w:val="en-US"/>
        </w:rPr>
        <w:t xml:space="preserve">of </w:t>
      </w:r>
      <w:proofErr w:type="spellStart"/>
      <w:r w:rsidR="007D08AB" w:rsidRPr="00343052">
        <w:rPr>
          <w:rFonts w:cstheme="majorBidi"/>
          <w:lang w:val="en-US"/>
        </w:rPr>
        <w:t>kafala</w:t>
      </w:r>
      <w:proofErr w:type="spellEnd"/>
      <w:r w:rsidR="007D08AB" w:rsidRPr="00343052">
        <w:rPr>
          <w:rFonts w:cstheme="majorBidi"/>
          <w:lang w:val="en-US"/>
        </w:rPr>
        <w:t xml:space="preserve"> </w:t>
      </w:r>
      <w:r w:rsidR="00B9296D" w:rsidRPr="00343052">
        <w:rPr>
          <w:rFonts w:cstheme="majorBidi"/>
          <w:lang w:val="en-US"/>
        </w:rPr>
        <w:t>is unknown.</w:t>
      </w:r>
      <w:r w:rsidRPr="00343052">
        <w:rPr>
          <w:rFonts w:cstheme="majorBidi"/>
          <w:lang w:val="en-US"/>
        </w:rPr>
        <w:t xml:space="preserve"> </w:t>
      </w:r>
      <w:r w:rsidR="00B73642" w:rsidRPr="00343052">
        <w:rPr>
          <w:rFonts w:cs="Helv"/>
          <w:b/>
          <w:bCs/>
          <w:i/>
          <w:iCs/>
          <w:color w:val="000000"/>
          <w:lang w:val="en-US"/>
        </w:rPr>
        <w:t>E</w:t>
      </w:r>
      <w:r w:rsidRPr="00343052">
        <w:rPr>
          <w:rFonts w:cs="Helv"/>
          <w:b/>
          <w:bCs/>
          <w:i/>
          <w:iCs/>
          <w:color w:val="000000"/>
          <w:lang w:val="en-US"/>
        </w:rPr>
        <w:t xml:space="preserve">l </w:t>
      </w:r>
      <w:proofErr w:type="spellStart"/>
      <w:r w:rsidRPr="00343052">
        <w:rPr>
          <w:rFonts w:cs="Helv"/>
          <w:b/>
          <w:bCs/>
          <w:i/>
          <w:iCs/>
          <w:color w:val="000000"/>
          <w:lang w:val="en-US"/>
        </w:rPr>
        <w:t>haq</w:t>
      </w:r>
      <w:proofErr w:type="spellEnd"/>
      <w:r w:rsidRPr="00343052">
        <w:rPr>
          <w:rFonts w:cs="Helv"/>
          <w:color w:val="000000"/>
          <w:lang w:val="en-US"/>
        </w:rPr>
        <w:t xml:space="preserve"> is a</w:t>
      </w:r>
      <w:r w:rsidR="00B73642" w:rsidRPr="00343052">
        <w:rPr>
          <w:rFonts w:cs="Helv"/>
          <w:color w:val="000000"/>
          <w:lang w:val="en-US"/>
        </w:rPr>
        <w:t>nother</w:t>
      </w:r>
      <w:r w:rsidRPr="00343052">
        <w:rPr>
          <w:rFonts w:cs="Helv"/>
          <w:color w:val="000000"/>
          <w:lang w:val="en-US"/>
        </w:rPr>
        <w:t xml:space="preserve"> form of family-based alternative care that constitutes “attachment contracts” with couples, but is applicable only to abandoned children, and not those relinquished by identified parents, orphans and other children without parental care, e.g. separated and unaccompanied children. </w:t>
      </w:r>
      <w:r w:rsidR="00B73642" w:rsidRPr="00343052">
        <w:rPr>
          <w:rFonts w:cs="Helv"/>
          <w:color w:val="000000"/>
          <w:lang w:val="en-US"/>
        </w:rPr>
        <w:t xml:space="preserve">Arrangements are </w:t>
      </w:r>
      <w:r w:rsidR="007D08AB" w:rsidRPr="00343052">
        <w:rPr>
          <w:rFonts w:cs="Helv"/>
          <w:color w:val="000000"/>
          <w:lang w:val="en-US"/>
        </w:rPr>
        <w:t xml:space="preserve">supported </w:t>
      </w:r>
      <w:r w:rsidR="00B73642" w:rsidRPr="00343052">
        <w:rPr>
          <w:rFonts w:cs="Helv"/>
          <w:color w:val="000000"/>
          <w:lang w:val="en-US"/>
        </w:rPr>
        <w:t xml:space="preserve">through </w:t>
      </w:r>
      <w:r w:rsidRPr="00343052">
        <w:rPr>
          <w:rFonts w:cs="Helv"/>
          <w:color w:val="000000"/>
          <w:lang w:val="en-US"/>
        </w:rPr>
        <w:t>the Foundling Care Legislative Decree, which regulates the status of abandoned children and their potential placement. In 2011 it was reported that on average 5 children per month – generally newborns - were placed this way.</w:t>
      </w:r>
    </w:p>
    <w:p w:rsidR="00B73642" w:rsidRPr="00343052" w:rsidRDefault="00B73642" w:rsidP="00D66F25">
      <w:pPr>
        <w:jc w:val="both"/>
        <w:rPr>
          <w:rFonts w:cs="Helv"/>
          <w:color w:val="000000"/>
          <w:lang w:val="en-US"/>
        </w:rPr>
      </w:pPr>
      <w:r w:rsidRPr="00343052">
        <w:rPr>
          <w:rFonts w:cstheme="majorBidi"/>
          <w:lang w:val="en-US"/>
        </w:rPr>
        <w:t xml:space="preserve">Where these options are not possible, children stay in </w:t>
      </w:r>
      <w:r w:rsidRPr="00343052">
        <w:rPr>
          <w:rFonts w:cstheme="majorBidi"/>
          <w:b/>
          <w:bCs/>
          <w:lang w:val="en-US"/>
        </w:rPr>
        <w:t>institutional care</w:t>
      </w:r>
      <w:r w:rsidRPr="00343052">
        <w:rPr>
          <w:rFonts w:cstheme="majorBidi"/>
          <w:lang w:val="en-US"/>
        </w:rPr>
        <w:t xml:space="preserve">. </w:t>
      </w:r>
      <w:r w:rsidRPr="00343052">
        <w:rPr>
          <w:rFonts w:cs="Helv"/>
          <w:color w:val="000000"/>
          <w:lang w:val="en-US"/>
        </w:rPr>
        <w:t xml:space="preserve">In 2011 there were </w:t>
      </w:r>
      <w:r w:rsidR="00B9296D" w:rsidRPr="00343052">
        <w:rPr>
          <w:rFonts w:cs="Helv"/>
          <w:color w:val="000000"/>
          <w:lang w:val="en-US"/>
        </w:rPr>
        <w:t xml:space="preserve">at least </w:t>
      </w:r>
      <w:r w:rsidRPr="00343052">
        <w:rPr>
          <w:rFonts w:cs="Helv"/>
          <w:color w:val="000000"/>
          <w:lang w:val="en-US"/>
        </w:rPr>
        <w:t>33 facilities providing care to 3528 children, including:</w:t>
      </w:r>
    </w:p>
    <w:p w:rsidR="00B73642" w:rsidRPr="00343052" w:rsidRDefault="00B73642" w:rsidP="00D66F25">
      <w:pPr>
        <w:pStyle w:val="ListParagraph"/>
        <w:numPr>
          <w:ilvl w:val="0"/>
          <w:numId w:val="42"/>
        </w:numPr>
        <w:jc w:val="both"/>
        <w:rPr>
          <w:rFonts w:cs="Helv"/>
          <w:color w:val="000000"/>
          <w:lang w:val="en-US"/>
        </w:rPr>
      </w:pPr>
      <w:r w:rsidRPr="00343052">
        <w:rPr>
          <w:rFonts w:cs="Helv"/>
          <w:color w:val="000000"/>
          <w:lang w:val="en-US"/>
        </w:rPr>
        <w:lastRenderedPageBreak/>
        <w:t xml:space="preserve">250 children in a residential </w:t>
      </w:r>
      <w:proofErr w:type="spellStart"/>
      <w:r w:rsidRPr="00343052">
        <w:rPr>
          <w:rFonts w:cs="Helv"/>
          <w:color w:val="000000"/>
          <w:lang w:val="en-US"/>
        </w:rPr>
        <w:t>centre</w:t>
      </w:r>
      <w:proofErr w:type="spellEnd"/>
      <w:r w:rsidRPr="00343052">
        <w:rPr>
          <w:rFonts w:cs="Helv"/>
          <w:color w:val="000000"/>
          <w:lang w:val="en-US"/>
        </w:rPr>
        <w:t xml:space="preserve"> for child vagrants and beggars (Rural Damascus)</w:t>
      </w:r>
    </w:p>
    <w:p w:rsidR="00B73642" w:rsidRPr="00343052" w:rsidRDefault="00B73642" w:rsidP="00D66F25">
      <w:pPr>
        <w:pStyle w:val="ListParagraph"/>
        <w:numPr>
          <w:ilvl w:val="0"/>
          <w:numId w:val="42"/>
        </w:numPr>
        <w:jc w:val="both"/>
        <w:rPr>
          <w:rFonts w:cs="Helv"/>
          <w:color w:val="000000"/>
          <w:lang w:val="en-US"/>
        </w:rPr>
      </w:pPr>
      <w:r w:rsidRPr="00343052">
        <w:rPr>
          <w:rFonts w:cs="Helv"/>
          <w:color w:val="000000"/>
          <w:lang w:val="en-US"/>
        </w:rPr>
        <w:t xml:space="preserve">176 children in 2 residential </w:t>
      </w:r>
      <w:proofErr w:type="spellStart"/>
      <w:r w:rsidRPr="00343052">
        <w:rPr>
          <w:rFonts w:cs="Helv"/>
          <w:color w:val="000000"/>
          <w:lang w:val="en-US"/>
        </w:rPr>
        <w:t>centres</w:t>
      </w:r>
      <w:proofErr w:type="spellEnd"/>
      <w:r w:rsidRPr="00343052">
        <w:rPr>
          <w:rFonts w:cs="Helv"/>
          <w:color w:val="000000"/>
          <w:lang w:val="en-US"/>
        </w:rPr>
        <w:t xml:space="preserve"> for abandoned child (Aleppo &amp; Damascus)</w:t>
      </w:r>
    </w:p>
    <w:p w:rsidR="00B73642" w:rsidRPr="00343052" w:rsidRDefault="00B73642" w:rsidP="00D66F25">
      <w:pPr>
        <w:pStyle w:val="ListParagraph"/>
        <w:numPr>
          <w:ilvl w:val="0"/>
          <w:numId w:val="42"/>
        </w:numPr>
        <w:jc w:val="both"/>
        <w:rPr>
          <w:rFonts w:cs="Helv"/>
          <w:color w:val="000000"/>
          <w:lang w:val="en-US"/>
        </w:rPr>
      </w:pPr>
      <w:r w:rsidRPr="00343052">
        <w:rPr>
          <w:rFonts w:cs="Helv"/>
          <w:color w:val="000000"/>
          <w:lang w:val="en-US"/>
        </w:rPr>
        <w:t xml:space="preserve">3122 children aged 6-18 years in orphanages, including 2430 in 30 </w:t>
      </w:r>
      <w:proofErr w:type="spellStart"/>
      <w:r w:rsidRPr="00343052">
        <w:rPr>
          <w:rFonts w:cs="Helv"/>
          <w:color w:val="000000"/>
          <w:lang w:val="en-US"/>
        </w:rPr>
        <w:t>centres</w:t>
      </w:r>
      <w:proofErr w:type="spellEnd"/>
      <w:r w:rsidRPr="00343052">
        <w:rPr>
          <w:rFonts w:cs="Helv"/>
          <w:color w:val="000000"/>
          <w:lang w:val="en-US"/>
        </w:rPr>
        <w:t xml:space="preserve"> supervised by MOSAL, 320 children in two </w:t>
      </w:r>
      <w:proofErr w:type="spellStart"/>
      <w:r w:rsidRPr="00343052">
        <w:rPr>
          <w:rFonts w:cs="Helv"/>
          <w:color w:val="000000"/>
          <w:lang w:val="en-US"/>
        </w:rPr>
        <w:t>centres</w:t>
      </w:r>
      <w:proofErr w:type="spellEnd"/>
      <w:r w:rsidRPr="00343052">
        <w:rPr>
          <w:rFonts w:cs="Helv"/>
          <w:color w:val="000000"/>
          <w:lang w:val="en-US"/>
        </w:rPr>
        <w:t xml:space="preserve"> supervised by Ministry of Religious Affairs and 372 children in three orphanages for Palestinian children</w:t>
      </w:r>
      <w:r w:rsidR="009808FC" w:rsidRPr="00343052">
        <w:rPr>
          <w:rFonts w:cs="Helv"/>
          <w:color w:val="000000"/>
          <w:lang w:val="en-US"/>
        </w:rPr>
        <w:t xml:space="preserve"> </w:t>
      </w:r>
      <w:r w:rsidR="009808FC" w:rsidRPr="00343052">
        <w:rPr>
          <w:rFonts w:cstheme="majorBidi"/>
          <w:color w:val="000000" w:themeColor="text1"/>
        </w:rPr>
        <w:t>run by the General Authority for Palestinian Arab Refugees</w:t>
      </w:r>
      <w:r w:rsidRPr="00343052">
        <w:rPr>
          <w:rFonts w:cs="Helv"/>
          <w:color w:val="000000"/>
          <w:lang w:val="en-US"/>
        </w:rPr>
        <w:t xml:space="preserve">. There is a least one orphanage in each governorate. </w:t>
      </w:r>
    </w:p>
    <w:p w:rsidR="00B73642" w:rsidRPr="00343052" w:rsidRDefault="00B73642" w:rsidP="00B9296D">
      <w:pPr>
        <w:jc w:val="both"/>
        <w:rPr>
          <w:rFonts w:cs="Helv"/>
          <w:color w:val="000000"/>
          <w:lang w:val="en-US"/>
        </w:rPr>
      </w:pPr>
      <w:r w:rsidRPr="00343052">
        <w:rPr>
          <w:rFonts w:cs="Helv"/>
          <w:color w:val="000000"/>
          <w:lang w:val="en-US"/>
        </w:rPr>
        <w:t xml:space="preserve">It is reported that </w:t>
      </w:r>
      <w:proofErr w:type="spellStart"/>
      <w:r w:rsidRPr="00343052">
        <w:rPr>
          <w:rFonts w:cs="Helv"/>
          <w:color w:val="000000"/>
          <w:lang w:val="en-US"/>
        </w:rPr>
        <w:t>centres</w:t>
      </w:r>
      <w:proofErr w:type="spellEnd"/>
      <w:r w:rsidRPr="00343052">
        <w:rPr>
          <w:rFonts w:cs="Helv"/>
          <w:color w:val="000000"/>
          <w:lang w:val="en-US"/>
        </w:rPr>
        <w:t xml:space="preserve"> mainly respond to material deprivation and/or rejection of children from their biological family, especially after remarriage of a widow or widower. Care is offered as a charitable service to families in delicate situations, rather than as a response to the child’s needs, best interest and protection per se. </w:t>
      </w:r>
      <w:r w:rsidRPr="00343052">
        <w:rPr>
          <w:rFonts w:cstheme="majorBidi"/>
          <w:lang w:val="en-US"/>
        </w:rPr>
        <w:t xml:space="preserve"> Institutions are not always equipped to provide for the holistic needs of children, and lack regular monitoring systems to safeguard the quality of care provided to children. </w:t>
      </w:r>
      <w:r w:rsidR="009808FC" w:rsidRPr="00343052">
        <w:rPr>
          <w:rFonts w:cstheme="majorBidi"/>
        </w:rPr>
        <w:t>There is no documented evidence of what happens to children once they leave an institution.</w:t>
      </w:r>
    </w:p>
    <w:p w:rsidR="00B73642" w:rsidRPr="00343052" w:rsidRDefault="00B73642" w:rsidP="00D66F25">
      <w:pPr>
        <w:jc w:val="both"/>
        <w:rPr>
          <w:rFonts w:cstheme="majorBidi"/>
          <w:lang w:val="en-US"/>
        </w:rPr>
      </w:pPr>
      <w:r w:rsidRPr="00343052">
        <w:rPr>
          <w:rFonts w:cstheme="majorBidi"/>
          <w:lang w:val="en-US"/>
        </w:rPr>
        <w:t xml:space="preserve">Religious representatives, such as Sheiks are also known to provide care for children in mosques. </w:t>
      </w:r>
    </w:p>
    <w:p w:rsidR="00B73642" w:rsidRPr="00343052" w:rsidRDefault="00B73642" w:rsidP="007D08AB">
      <w:pPr>
        <w:jc w:val="both"/>
        <w:rPr>
          <w:rFonts w:cs="Helv"/>
          <w:color w:val="000000"/>
          <w:lang w:val="en-US"/>
        </w:rPr>
      </w:pPr>
      <w:r w:rsidRPr="00343052">
        <w:rPr>
          <w:rFonts w:cs="Helv"/>
          <w:color w:val="000000"/>
          <w:lang w:val="en-US"/>
        </w:rPr>
        <w:t xml:space="preserve">Substantial proportion of children in need of care and protection are identified and dealt with on the basis of laws relating to vagrancy and begging. As a result they may be held in residential facilities with juvenile offenders and essentially treated in the same way. </w:t>
      </w:r>
      <w:r w:rsidR="00B9296D" w:rsidRPr="00343052">
        <w:rPr>
          <w:rFonts w:cs="Helv"/>
          <w:color w:val="000000"/>
          <w:lang w:val="en-US"/>
        </w:rPr>
        <w:t>There are t</w:t>
      </w:r>
      <w:r w:rsidRPr="00343052">
        <w:rPr>
          <w:rFonts w:cs="Helv"/>
          <w:color w:val="000000"/>
          <w:lang w:val="en-US"/>
        </w:rPr>
        <w:t xml:space="preserve">hree types of </w:t>
      </w:r>
      <w:r w:rsidRPr="00343052">
        <w:rPr>
          <w:rFonts w:cs="Helv"/>
          <w:b/>
          <w:bCs/>
          <w:color w:val="000000"/>
          <w:lang w:val="en-US"/>
        </w:rPr>
        <w:t>institutions for children in co</w:t>
      </w:r>
      <w:r w:rsidR="007D08AB" w:rsidRPr="00343052">
        <w:rPr>
          <w:rFonts w:cs="Helv"/>
          <w:b/>
          <w:bCs/>
          <w:color w:val="000000"/>
          <w:lang w:val="en-US"/>
        </w:rPr>
        <w:t>ntact</w:t>
      </w:r>
      <w:r w:rsidRPr="00343052">
        <w:rPr>
          <w:rFonts w:cs="Helv"/>
          <w:b/>
          <w:bCs/>
          <w:color w:val="000000"/>
          <w:lang w:val="en-US"/>
        </w:rPr>
        <w:t xml:space="preserve"> with the law </w:t>
      </w:r>
      <w:r w:rsidRPr="00343052">
        <w:rPr>
          <w:rFonts w:cs="Helv"/>
          <w:color w:val="000000"/>
          <w:lang w:val="en-US"/>
        </w:rPr>
        <w:t xml:space="preserve">– observation </w:t>
      </w:r>
      <w:proofErr w:type="spellStart"/>
      <w:r w:rsidRPr="00343052">
        <w:rPr>
          <w:rFonts w:cs="Helv"/>
          <w:color w:val="000000"/>
          <w:lang w:val="en-US"/>
        </w:rPr>
        <w:t>centres</w:t>
      </w:r>
      <w:proofErr w:type="spellEnd"/>
      <w:r w:rsidRPr="00343052">
        <w:rPr>
          <w:rFonts w:cs="Helv"/>
          <w:color w:val="000000"/>
          <w:lang w:val="en-US"/>
        </w:rPr>
        <w:t xml:space="preserve">, </w:t>
      </w:r>
      <w:proofErr w:type="spellStart"/>
      <w:r w:rsidRPr="00343052">
        <w:rPr>
          <w:rFonts w:cs="Helv"/>
          <w:color w:val="000000"/>
          <w:lang w:val="en-US"/>
        </w:rPr>
        <w:t>centres</w:t>
      </w:r>
      <w:proofErr w:type="spellEnd"/>
      <w:r w:rsidRPr="00343052">
        <w:rPr>
          <w:rFonts w:cs="Helv"/>
          <w:color w:val="000000"/>
          <w:lang w:val="en-US"/>
        </w:rPr>
        <w:t xml:space="preserve"> for convicted juveniles and reception </w:t>
      </w:r>
      <w:proofErr w:type="spellStart"/>
      <w:r w:rsidRPr="00343052">
        <w:rPr>
          <w:rFonts w:cs="Helv"/>
          <w:color w:val="000000"/>
          <w:lang w:val="en-US"/>
        </w:rPr>
        <w:t>centres</w:t>
      </w:r>
      <w:proofErr w:type="spellEnd"/>
      <w:r w:rsidRPr="00343052">
        <w:rPr>
          <w:rFonts w:cs="Helv"/>
          <w:color w:val="000000"/>
          <w:lang w:val="en-US"/>
        </w:rPr>
        <w:t xml:space="preserve"> for homeless, begging, exploited and abused children. (</w:t>
      </w:r>
      <w:proofErr w:type="gramStart"/>
      <w:r w:rsidR="00B9296D" w:rsidRPr="00343052">
        <w:rPr>
          <w:rFonts w:cs="Helv"/>
          <w:color w:val="000000"/>
          <w:lang w:val="en-US"/>
        </w:rPr>
        <w:t>also</w:t>
      </w:r>
      <w:proofErr w:type="gramEnd"/>
      <w:r w:rsidR="00B9296D" w:rsidRPr="00343052">
        <w:rPr>
          <w:rFonts w:cs="Helv"/>
          <w:color w:val="000000"/>
          <w:lang w:val="en-US"/>
        </w:rPr>
        <w:t xml:space="preserve"> </w:t>
      </w:r>
      <w:r w:rsidRPr="00343052">
        <w:rPr>
          <w:rFonts w:cs="Helv"/>
          <w:color w:val="000000"/>
          <w:lang w:val="en-US"/>
        </w:rPr>
        <w:t>see physical violence)</w:t>
      </w:r>
    </w:p>
    <w:p w:rsidR="00B73642" w:rsidRPr="00343052" w:rsidRDefault="00B9296D" w:rsidP="00B9296D">
      <w:pPr>
        <w:jc w:val="both"/>
        <w:rPr>
          <w:rFonts w:cs="Helv"/>
          <w:color w:val="000000"/>
          <w:lang w:val="en-US"/>
        </w:rPr>
      </w:pPr>
      <w:r w:rsidRPr="00343052">
        <w:rPr>
          <w:rFonts w:cs="Helv"/>
          <w:color w:val="000000"/>
          <w:lang w:val="en-US"/>
        </w:rPr>
        <w:t>Separation due to t</w:t>
      </w:r>
      <w:r w:rsidR="00EB327A" w:rsidRPr="00343052">
        <w:rPr>
          <w:rFonts w:cs="Helv"/>
          <w:color w:val="000000"/>
          <w:lang w:val="en-US"/>
        </w:rPr>
        <w:t>rafficking:</w:t>
      </w:r>
      <w:r w:rsidR="00EB327A" w:rsidRPr="00343052">
        <w:rPr>
          <w:rFonts w:cs="Helv"/>
          <w:b/>
          <w:bCs/>
          <w:color w:val="000000"/>
          <w:lang w:val="en-US"/>
        </w:rPr>
        <w:t xml:space="preserve"> </w:t>
      </w:r>
      <w:r w:rsidR="00EB327A" w:rsidRPr="00343052">
        <w:rPr>
          <w:rFonts w:cs="Helv"/>
          <w:color w:val="000000"/>
          <w:lang w:val="en-US"/>
        </w:rPr>
        <w:t xml:space="preserve">see worst forms of </w:t>
      </w:r>
      <w:r w:rsidR="007D08AB" w:rsidRPr="00343052">
        <w:rPr>
          <w:rFonts w:cs="Helv"/>
          <w:color w:val="000000"/>
          <w:lang w:val="en-US"/>
        </w:rPr>
        <w:t xml:space="preserve">child </w:t>
      </w:r>
      <w:proofErr w:type="spellStart"/>
      <w:r w:rsidR="00EB327A" w:rsidRPr="00343052">
        <w:rPr>
          <w:rFonts w:cs="Helv"/>
          <w:color w:val="000000"/>
          <w:lang w:val="en-US"/>
        </w:rPr>
        <w:t>labour</w:t>
      </w:r>
      <w:proofErr w:type="spellEnd"/>
      <w:r w:rsidR="007D08AB" w:rsidRPr="00343052">
        <w:rPr>
          <w:rFonts w:cs="Helv"/>
          <w:color w:val="000000"/>
          <w:lang w:val="en-US"/>
        </w:rPr>
        <w:t>.</w:t>
      </w:r>
      <w:r w:rsidR="00EB327A" w:rsidRPr="00343052">
        <w:rPr>
          <w:rFonts w:cs="Helv"/>
          <w:color w:val="000000"/>
          <w:lang w:val="en-US"/>
        </w:rPr>
        <w:t xml:space="preserve"> </w:t>
      </w:r>
    </w:p>
    <w:p w:rsidR="00CC345D" w:rsidRPr="00343052" w:rsidRDefault="00CC345D" w:rsidP="00D66F25">
      <w:pPr>
        <w:pStyle w:val="DeskReview2"/>
        <w:numPr>
          <w:ilvl w:val="0"/>
          <w:numId w:val="0"/>
        </w:numPr>
        <w:spacing w:line="276" w:lineRule="auto"/>
        <w:jc w:val="both"/>
        <w:rPr>
          <w:rFonts w:asciiTheme="minorHAnsi" w:hAnsiTheme="minorHAnsi" w:cstheme="majorBidi"/>
          <w:b w:val="0"/>
          <w:color w:val="auto"/>
          <w:sz w:val="22"/>
          <w:szCs w:val="22"/>
          <w:lang w:val="en-US"/>
        </w:rPr>
      </w:pPr>
    </w:p>
    <w:p w:rsidR="00CC345D" w:rsidRPr="00343052" w:rsidRDefault="00CC345D" w:rsidP="00D66F25">
      <w:pPr>
        <w:pStyle w:val="DeskReview2"/>
        <w:numPr>
          <w:ilvl w:val="1"/>
          <w:numId w:val="24"/>
        </w:numPr>
        <w:spacing w:line="276" w:lineRule="auto"/>
        <w:ind w:firstLine="0"/>
        <w:jc w:val="both"/>
        <w:outlineLvl w:val="2"/>
        <w:rPr>
          <w:rFonts w:asciiTheme="minorHAnsi" w:hAnsiTheme="minorHAnsi" w:cstheme="majorBidi"/>
          <w:bCs/>
          <w:i/>
          <w:iCs/>
          <w:color w:val="1F497D" w:themeColor="text2"/>
          <w:sz w:val="22"/>
          <w:szCs w:val="22"/>
        </w:rPr>
      </w:pPr>
      <w:bookmarkStart w:id="4" w:name="_Toc358663758"/>
      <w:bookmarkStart w:id="5" w:name="_Toc367720279"/>
      <w:r w:rsidRPr="00343052">
        <w:rPr>
          <w:rFonts w:asciiTheme="minorHAnsi" w:hAnsiTheme="minorHAnsi" w:cstheme="majorBidi"/>
          <w:bCs/>
          <w:i/>
          <w:iCs/>
          <w:color w:val="1F497D" w:themeColor="text2"/>
          <w:sz w:val="22"/>
          <w:szCs w:val="22"/>
        </w:rPr>
        <w:t>Understanding of the issue since the onset of the conflict</w:t>
      </w:r>
      <w:bookmarkEnd w:id="4"/>
      <w:bookmarkEnd w:id="5"/>
    </w:p>
    <w:p w:rsidR="004D37A1" w:rsidRPr="00343052" w:rsidRDefault="001025C5" w:rsidP="001800FE">
      <w:pPr>
        <w:tabs>
          <w:tab w:val="left" w:pos="1440"/>
        </w:tabs>
        <w:spacing w:after="0"/>
        <w:jc w:val="both"/>
        <w:rPr>
          <w:rFonts w:cstheme="majorBidi"/>
        </w:rPr>
      </w:pPr>
      <w:r w:rsidRPr="00343052">
        <w:rPr>
          <w:rFonts w:cstheme="majorBidi"/>
          <w:lang w:val="en"/>
        </w:rPr>
        <w:t>Separated and unaccompanied children often make up 2-5% of a refugee population</w:t>
      </w:r>
      <w:r w:rsidRPr="00343052">
        <w:rPr>
          <w:rStyle w:val="FootnoteReference"/>
          <w:rFonts w:cstheme="majorBidi"/>
          <w:lang w:val="en"/>
        </w:rPr>
        <w:footnoteReference w:id="5"/>
      </w:r>
      <w:r w:rsidRPr="00343052">
        <w:rPr>
          <w:rFonts w:cstheme="majorBidi"/>
          <w:lang w:val="en"/>
        </w:rPr>
        <w:t xml:space="preserve">. </w:t>
      </w:r>
      <w:r w:rsidR="00B9296D" w:rsidRPr="00343052">
        <w:rPr>
          <w:rFonts w:cstheme="majorBidi"/>
        </w:rPr>
        <w:t>R</w:t>
      </w:r>
      <w:r w:rsidR="00C57A2C" w:rsidRPr="00343052">
        <w:rPr>
          <w:rFonts w:cstheme="majorBidi"/>
        </w:rPr>
        <w:t xml:space="preserve">egistration data from </w:t>
      </w:r>
      <w:r w:rsidR="00247090" w:rsidRPr="00343052">
        <w:rPr>
          <w:rFonts w:cstheme="majorBidi"/>
        </w:rPr>
        <w:t xml:space="preserve">surrounding </w:t>
      </w:r>
      <w:r w:rsidR="00C57A2C" w:rsidRPr="00343052">
        <w:rPr>
          <w:rFonts w:cstheme="majorBidi"/>
        </w:rPr>
        <w:t>refu</w:t>
      </w:r>
      <w:r w:rsidR="00B9296D" w:rsidRPr="00343052">
        <w:rPr>
          <w:rFonts w:cstheme="majorBidi"/>
        </w:rPr>
        <w:t xml:space="preserve">gee receiving countries </w:t>
      </w:r>
      <w:r w:rsidR="00C57A2C" w:rsidRPr="00343052">
        <w:rPr>
          <w:rFonts w:cstheme="majorBidi"/>
        </w:rPr>
        <w:t>shows the number of children crossing the border unaccompanied or separated from</w:t>
      </w:r>
      <w:r w:rsidR="00B9296D" w:rsidRPr="00343052">
        <w:rPr>
          <w:rFonts w:cstheme="majorBidi"/>
        </w:rPr>
        <w:t xml:space="preserve"> their caregivers is fairly low: in Lebanon, as of </w:t>
      </w:r>
      <w:r w:rsidR="001800FE" w:rsidRPr="00343052">
        <w:rPr>
          <w:rFonts w:cstheme="majorBidi"/>
        </w:rPr>
        <w:t>June</w:t>
      </w:r>
      <w:r w:rsidR="00B9296D" w:rsidRPr="00343052">
        <w:rPr>
          <w:rFonts w:cstheme="majorBidi"/>
        </w:rPr>
        <w:t xml:space="preserve"> 2013 </w:t>
      </w:r>
      <w:r w:rsidR="001800FE" w:rsidRPr="00343052">
        <w:rPr>
          <w:rFonts w:cstheme="majorBidi"/>
        </w:rPr>
        <w:t>771 separated children and 106 unaccompanied children had been identified (approximately 60% of separated children are boys, and over 80% are aged 12-17 years; approximately 70% of children unaccompanied are boys, and over 60% are aged 12-17 years)</w:t>
      </w:r>
      <w:r w:rsidR="001800FE" w:rsidRPr="00343052">
        <w:rPr>
          <w:rStyle w:val="FootnoteReference"/>
          <w:rFonts w:cstheme="majorBidi"/>
        </w:rPr>
        <w:t xml:space="preserve"> </w:t>
      </w:r>
      <w:r w:rsidR="001800FE" w:rsidRPr="00343052">
        <w:rPr>
          <w:rStyle w:val="FootnoteReference"/>
          <w:rFonts w:cstheme="majorBidi"/>
        </w:rPr>
        <w:footnoteReference w:id="6"/>
      </w:r>
      <w:r w:rsidR="001800FE" w:rsidRPr="00343052">
        <w:rPr>
          <w:rFonts w:cstheme="majorBidi"/>
        </w:rPr>
        <w:t xml:space="preserve"> </w:t>
      </w:r>
      <w:r w:rsidR="00C97A42">
        <w:rPr>
          <w:rFonts w:cstheme="majorBidi"/>
        </w:rPr>
        <w:t>.</w:t>
      </w:r>
      <w:r w:rsidR="001800FE" w:rsidRPr="00343052">
        <w:rPr>
          <w:rFonts w:cstheme="majorBidi"/>
        </w:rPr>
        <w:t xml:space="preserve">  I</w:t>
      </w:r>
      <w:r w:rsidR="00B9296D" w:rsidRPr="00343052">
        <w:rPr>
          <w:rFonts w:cstheme="majorBidi"/>
        </w:rPr>
        <w:t>n Jordan, as of April 2013 1000 separated children and 1300 unaccompanied children had been identified. An analysis of trends in Jordan found 41% of children separated for reasons of family reunification, 27% for safety and 11% for access to services.</w:t>
      </w:r>
      <w:r w:rsidR="004D37A1" w:rsidRPr="00343052">
        <w:rPr>
          <w:rStyle w:val="FootnoteReference"/>
          <w:rFonts w:cstheme="majorBidi"/>
        </w:rPr>
        <w:footnoteReference w:id="7"/>
      </w:r>
      <w:r w:rsidR="00B9296D" w:rsidRPr="00343052">
        <w:rPr>
          <w:rFonts w:cstheme="majorBidi"/>
        </w:rPr>
        <w:t xml:space="preserve"> </w:t>
      </w:r>
      <w:r w:rsidR="009A50F9" w:rsidRPr="00343052">
        <w:rPr>
          <w:rFonts w:cstheme="majorBidi"/>
        </w:rPr>
        <w:t xml:space="preserve">In </w:t>
      </w:r>
      <w:proofErr w:type="spellStart"/>
      <w:r w:rsidR="009A50F9" w:rsidRPr="00343052">
        <w:rPr>
          <w:rFonts w:cstheme="majorBidi"/>
        </w:rPr>
        <w:t>Domiz</w:t>
      </w:r>
      <w:proofErr w:type="spellEnd"/>
      <w:r w:rsidR="009A50F9" w:rsidRPr="00343052">
        <w:rPr>
          <w:rFonts w:cstheme="majorBidi"/>
        </w:rPr>
        <w:t xml:space="preserve"> camp in Iraq, 59 children are registered as separated. </w:t>
      </w:r>
      <w:r w:rsidR="002837C6" w:rsidRPr="00343052">
        <w:rPr>
          <w:rFonts w:cstheme="majorBidi"/>
        </w:rPr>
        <w:t>An assessment in Iraq found separation is initiated in Syria as a protection mechanis</w:t>
      </w:r>
      <w:r w:rsidR="001800FE" w:rsidRPr="00343052">
        <w:rPr>
          <w:rFonts w:cstheme="majorBidi"/>
        </w:rPr>
        <w:t>m</w:t>
      </w:r>
      <w:r w:rsidR="002837C6" w:rsidRPr="00343052">
        <w:rPr>
          <w:rFonts w:cstheme="majorBidi"/>
        </w:rPr>
        <w:t>, to prevent recruitment into armed forces and armed groups, for economic reasons and to protect girls from</w:t>
      </w:r>
      <w:r w:rsidR="009A50F9" w:rsidRPr="00343052">
        <w:rPr>
          <w:rFonts w:cstheme="majorBidi"/>
        </w:rPr>
        <w:t xml:space="preserve"> sexual assault.</w:t>
      </w:r>
      <w:r w:rsidR="002837C6" w:rsidRPr="00343052">
        <w:rPr>
          <w:rStyle w:val="FootnoteReference"/>
          <w:rFonts w:cstheme="majorBidi"/>
        </w:rPr>
        <w:footnoteReference w:id="8"/>
      </w:r>
      <w:r w:rsidR="009A50F9" w:rsidRPr="00343052">
        <w:rPr>
          <w:rFonts w:cstheme="majorBidi"/>
        </w:rPr>
        <w:t xml:space="preserve"> </w:t>
      </w:r>
    </w:p>
    <w:p w:rsidR="004D37A1" w:rsidRPr="00343052" w:rsidRDefault="004D37A1" w:rsidP="00B9296D">
      <w:pPr>
        <w:tabs>
          <w:tab w:val="left" w:pos="1440"/>
        </w:tabs>
        <w:spacing w:after="0"/>
        <w:jc w:val="both"/>
        <w:rPr>
          <w:rFonts w:cstheme="majorBidi"/>
          <w:color w:val="4F81BD" w:themeColor="accent1"/>
        </w:rPr>
      </w:pPr>
    </w:p>
    <w:p w:rsidR="0013052A" w:rsidRPr="00343052" w:rsidRDefault="00B9296D" w:rsidP="00C97A42">
      <w:pPr>
        <w:tabs>
          <w:tab w:val="left" w:pos="1440"/>
        </w:tabs>
        <w:spacing w:after="0"/>
        <w:jc w:val="both"/>
        <w:rPr>
          <w:rFonts w:cstheme="majorBidi"/>
        </w:rPr>
      </w:pPr>
      <w:r w:rsidRPr="00343052">
        <w:rPr>
          <w:rFonts w:cstheme="majorBidi"/>
        </w:rPr>
        <w:t>H</w:t>
      </w:r>
      <w:r w:rsidR="00C57A2C" w:rsidRPr="00343052">
        <w:rPr>
          <w:rFonts w:cstheme="majorBidi"/>
        </w:rPr>
        <w:t xml:space="preserve">owever this </w:t>
      </w:r>
      <w:r w:rsidR="004D37A1" w:rsidRPr="00343052">
        <w:rPr>
          <w:rFonts w:cstheme="majorBidi"/>
        </w:rPr>
        <w:t>data</w:t>
      </w:r>
      <w:r w:rsidRPr="00343052">
        <w:rPr>
          <w:rFonts w:cstheme="majorBidi"/>
        </w:rPr>
        <w:t xml:space="preserve"> </w:t>
      </w:r>
      <w:r w:rsidR="00C57A2C" w:rsidRPr="00343052">
        <w:rPr>
          <w:rFonts w:cstheme="majorBidi"/>
        </w:rPr>
        <w:t xml:space="preserve">does not provide a clear indication of the situation inside Syria.  It has been reported that the shelling of residential areas in addition to general insecurity has compelled some parents to entrust their children to relatives who may live in less insecure areas. </w:t>
      </w:r>
      <w:r w:rsidR="00C97A42">
        <w:rPr>
          <w:rFonts w:cstheme="majorBidi"/>
        </w:rPr>
        <w:t>C</w:t>
      </w:r>
      <w:r w:rsidR="0013052A" w:rsidRPr="00343052">
        <w:rPr>
          <w:rFonts w:cstheme="majorBidi"/>
        </w:rPr>
        <w:t xml:space="preserve">aregivers </w:t>
      </w:r>
      <w:proofErr w:type="gramStart"/>
      <w:r w:rsidR="00C97A42">
        <w:rPr>
          <w:rFonts w:cstheme="majorBidi"/>
        </w:rPr>
        <w:t xml:space="preserve">may </w:t>
      </w:r>
      <w:r w:rsidR="0013052A" w:rsidRPr="00343052">
        <w:rPr>
          <w:rFonts w:cstheme="majorBidi"/>
        </w:rPr>
        <w:t xml:space="preserve"> not</w:t>
      </w:r>
      <w:proofErr w:type="gramEnd"/>
      <w:r w:rsidR="0013052A" w:rsidRPr="00343052">
        <w:rPr>
          <w:rFonts w:cstheme="majorBidi"/>
        </w:rPr>
        <w:t xml:space="preserve"> </w:t>
      </w:r>
      <w:r w:rsidR="0013052A" w:rsidRPr="00343052">
        <w:rPr>
          <w:rFonts w:cstheme="majorBidi"/>
        </w:rPr>
        <w:lastRenderedPageBreak/>
        <w:t xml:space="preserve">register changes in care arrangements with local authorities, possibly owing to the informal nature of such care arrangements and the fear of sharing information in the current context. Thus, the level and scope of voluntary separation of children from their usual caregivers is unknown. </w:t>
      </w:r>
    </w:p>
    <w:p w:rsidR="0013052A" w:rsidRPr="00343052" w:rsidRDefault="0013052A" w:rsidP="00D66F25">
      <w:pPr>
        <w:tabs>
          <w:tab w:val="left" w:pos="1440"/>
        </w:tabs>
        <w:spacing w:after="0"/>
        <w:jc w:val="both"/>
        <w:rPr>
          <w:rFonts w:cstheme="majorBidi"/>
          <w:color w:val="4F81BD" w:themeColor="accent1"/>
        </w:rPr>
      </w:pPr>
    </w:p>
    <w:p w:rsidR="004D37A1" w:rsidRPr="00343052" w:rsidRDefault="004D37A1" w:rsidP="00C97A42">
      <w:pPr>
        <w:tabs>
          <w:tab w:val="left" w:pos="1365"/>
        </w:tabs>
        <w:spacing w:after="0"/>
        <w:jc w:val="both"/>
        <w:rPr>
          <w:rFonts w:cstheme="majorBidi"/>
        </w:rPr>
      </w:pPr>
      <w:r w:rsidRPr="00343052">
        <w:rPr>
          <w:rFonts w:cstheme="majorBidi"/>
        </w:rPr>
        <w:t xml:space="preserve">The risk </w:t>
      </w:r>
      <w:r w:rsidR="00C97A42">
        <w:rPr>
          <w:rFonts w:cstheme="majorBidi"/>
        </w:rPr>
        <w:t xml:space="preserve">of separation </w:t>
      </w:r>
      <w:r w:rsidRPr="00343052">
        <w:rPr>
          <w:rFonts w:cstheme="majorBidi"/>
        </w:rPr>
        <w:t>is higher during population movements and while children are receiving care or ser</w:t>
      </w:r>
      <w:r w:rsidR="000F0C01" w:rsidRPr="00343052">
        <w:rPr>
          <w:rFonts w:cstheme="majorBidi"/>
        </w:rPr>
        <w:t xml:space="preserve">vices in hospitals or schools. </w:t>
      </w:r>
      <w:r w:rsidR="004C1180" w:rsidRPr="00343052">
        <w:rPr>
          <w:rFonts w:cstheme="majorBidi"/>
        </w:rPr>
        <w:t>In other cases, parents make decision</w:t>
      </w:r>
      <w:r w:rsidR="00C97A42">
        <w:rPr>
          <w:rFonts w:cstheme="majorBidi"/>
        </w:rPr>
        <w:t>s</w:t>
      </w:r>
      <w:r w:rsidR="004C1180" w:rsidRPr="00343052">
        <w:rPr>
          <w:rFonts w:cstheme="majorBidi"/>
        </w:rPr>
        <w:t xml:space="preserve"> to send children away to relatives in areas deemed less insecure</w:t>
      </w:r>
      <w:r w:rsidR="00327DB5" w:rsidRPr="00343052">
        <w:rPr>
          <w:rStyle w:val="FootnoteReference"/>
          <w:rFonts w:cstheme="majorBidi"/>
        </w:rPr>
        <w:footnoteReference w:id="9"/>
      </w:r>
      <w:r w:rsidR="004C1180" w:rsidRPr="00343052">
        <w:rPr>
          <w:rFonts w:cstheme="majorBidi"/>
        </w:rPr>
        <w:t xml:space="preserve">. </w:t>
      </w:r>
      <w:r w:rsidR="000F0C01" w:rsidRPr="00343052">
        <w:rPr>
          <w:rFonts w:cstheme="majorBidi"/>
        </w:rPr>
        <w:t xml:space="preserve"> </w:t>
      </w:r>
      <w:r w:rsidRPr="00343052">
        <w:rPr>
          <w:rFonts w:cstheme="majorBidi"/>
        </w:rPr>
        <w:t xml:space="preserve">Family separation was identified as a source of concern in an assessment of north Syria </w:t>
      </w:r>
      <w:r w:rsidR="000F0C01" w:rsidRPr="00343052">
        <w:rPr>
          <w:rFonts w:cstheme="majorBidi"/>
        </w:rPr>
        <w:t xml:space="preserve">in </w:t>
      </w:r>
      <w:r w:rsidR="00AE7DA0" w:rsidRPr="00343052">
        <w:rPr>
          <w:rFonts w:cstheme="majorBidi"/>
        </w:rPr>
        <w:t xml:space="preserve">Aleppo, </w:t>
      </w:r>
      <w:proofErr w:type="spellStart"/>
      <w:r w:rsidR="00AE7DA0" w:rsidRPr="00343052">
        <w:rPr>
          <w:rFonts w:cstheme="majorBidi"/>
        </w:rPr>
        <w:t>Ar</w:t>
      </w:r>
      <w:r w:rsidR="00247090" w:rsidRPr="00343052">
        <w:rPr>
          <w:rFonts w:cstheme="majorBidi"/>
        </w:rPr>
        <w:t>-Raqqa</w:t>
      </w:r>
      <w:proofErr w:type="spellEnd"/>
      <w:r w:rsidR="00247090" w:rsidRPr="00343052">
        <w:rPr>
          <w:rFonts w:cstheme="majorBidi"/>
        </w:rPr>
        <w:t xml:space="preserve">, </w:t>
      </w:r>
      <w:proofErr w:type="spellStart"/>
      <w:r w:rsidR="000F0C01" w:rsidRPr="00343052">
        <w:rPr>
          <w:rFonts w:cstheme="majorBidi"/>
        </w:rPr>
        <w:t>Lattakia</w:t>
      </w:r>
      <w:proofErr w:type="spellEnd"/>
      <w:r w:rsidR="00AE7DA0" w:rsidRPr="00343052">
        <w:rPr>
          <w:rFonts w:cstheme="majorBidi"/>
        </w:rPr>
        <w:t xml:space="preserve">, </w:t>
      </w:r>
      <w:proofErr w:type="spellStart"/>
      <w:r w:rsidR="00AE7DA0" w:rsidRPr="00343052">
        <w:rPr>
          <w:rFonts w:cstheme="majorBidi"/>
        </w:rPr>
        <w:t>Deir-ez-Zor</w:t>
      </w:r>
      <w:proofErr w:type="spellEnd"/>
      <w:r w:rsidR="00AE7DA0" w:rsidRPr="00343052">
        <w:rPr>
          <w:rFonts w:cstheme="majorBidi"/>
        </w:rPr>
        <w:t xml:space="preserve"> </w:t>
      </w:r>
      <w:r w:rsidR="000F0C01" w:rsidRPr="00343052">
        <w:rPr>
          <w:rFonts w:cstheme="majorBidi"/>
        </w:rPr>
        <w:t>and Al-</w:t>
      </w:r>
      <w:proofErr w:type="spellStart"/>
      <w:r w:rsidR="000F0C01" w:rsidRPr="00343052">
        <w:rPr>
          <w:rFonts w:cstheme="majorBidi"/>
        </w:rPr>
        <w:t>Hassakeh</w:t>
      </w:r>
      <w:proofErr w:type="spellEnd"/>
      <w:r w:rsidR="000F0C01" w:rsidRPr="00343052">
        <w:rPr>
          <w:rFonts w:cstheme="majorBidi"/>
        </w:rPr>
        <w:t>.</w:t>
      </w:r>
      <w:r w:rsidR="000F0C01" w:rsidRPr="00343052">
        <w:rPr>
          <w:rStyle w:val="FootnoteReference"/>
          <w:rFonts w:cstheme="majorBidi"/>
        </w:rPr>
        <w:footnoteReference w:id="10"/>
      </w:r>
    </w:p>
    <w:p w:rsidR="004D37A1" w:rsidRPr="00343052" w:rsidRDefault="004D37A1" w:rsidP="00D66F25">
      <w:pPr>
        <w:tabs>
          <w:tab w:val="left" w:pos="1365"/>
        </w:tabs>
        <w:spacing w:after="0"/>
        <w:jc w:val="both"/>
        <w:rPr>
          <w:rFonts w:cstheme="majorBidi"/>
        </w:rPr>
      </w:pPr>
    </w:p>
    <w:p w:rsidR="00CC345D" w:rsidRPr="00343052" w:rsidRDefault="00CC345D" w:rsidP="00D66F25">
      <w:pPr>
        <w:pStyle w:val="DeskReview2"/>
        <w:numPr>
          <w:ilvl w:val="0"/>
          <w:numId w:val="0"/>
        </w:numPr>
        <w:spacing w:line="276" w:lineRule="auto"/>
        <w:ind w:left="720"/>
        <w:jc w:val="both"/>
        <w:rPr>
          <w:rFonts w:asciiTheme="minorHAnsi" w:hAnsiTheme="minorHAnsi" w:cstheme="majorBidi"/>
          <w:b w:val="0"/>
          <w:color w:val="1F497D" w:themeColor="text2"/>
          <w:sz w:val="22"/>
          <w:szCs w:val="22"/>
          <w:u w:val="single"/>
        </w:rPr>
      </w:pPr>
    </w:p>
    <w:p w:rsidR="00CC345D" w:rsidRPr="00380A79" w:rsidRDefault="00CC345D" w:rsidP="00D66F25">
      <w:pPr>
        <w:pStyle w:val="DeskReview2"/>
        <w:numPr>
          <w:ilvl w:val="0"/>
          <w:numId w:val="32"/>
        </w:numPr>
        <w:spacing w:line="276" w:lineRule="auto"/>
        <w:ind w:firstLine="0"/>
        <w:jc w:val="both"/>
        <w:outlineLvl w:val="1"/>
        <w:rPr>
          <w:rFonts w:asciiTheme="minorHAnsi" w:hAnsiTheme="minorHAnsi" w:cstheme="majorBidi"/>
          <w:bCs/>
          <w:i/>
          <w:iCs/>
          <w:color w:val="1F497D" w:themeColor="text2"/>
          <w:u w:val="single"/>
        </w:rPr>
      </w:pPr>
      <w:bookmarkStart w:id="6" w:name="_Toc367720280"/>
      <w:r w:rsidRPr="00380A79">
        <w:rPr>
          <w:rFonts w:asciiTheme="minorHAnsi" w:hAnsiTheme="minorHAnsi" w:cstheme="majorBidi"/>
          <w:bCs/>
          <w:i/>
          <w:iCs/>
          <w:color w:val="1F497D" w:themeColor="text2"/>
          <w:u w:val="single"/>
        </w:rPr>
        <w:t>Physical danger and violence against children</w:t>
      </w:r>
      <w:bookmarkEnd w:id="6"/>
    </w:p>
    <w:p w:rsidR="000E6359" w:rsidRPr="00343052" w:rsidRDefault="000E6359" w:rsidP="008212D4">
      <w:pPr>
        <w:pStyle w:val="DeskReview2"/>
        <w:numPr>
          <w:ilvl w:val="1"/>
          <w:numId w:val="47"/>
        </w:numPr>
        <w:spacing w:line="276" w:lineRule="auto"/>
        <w:jc w:val="both"/>
        <w:outlineLvl w:val="2"/>
        <w:rPr>
          <w:rFonts w:asciiTheme="minorHAnsi" w:hAnsiTheme="minorHAnsi" w:cstheme="majorBidi"/>
          <w:bCs/>
          <w:color w:val="1F497D" w:themeColor="text2"/>
          <w:sz w:val="22"/>
          <w:szCs w:val="22"/>
        </w:rPr>
      </w:pPr>
      <w:bookmarkStart w:id="7" w:name="_Toc358663760"/>
      <w:bookmarkStart w:id="8" w:name="_Toc367720281"/>
      <w:r w:rsidRPr="00343052">
        <w:rPr>
          <w:rFonts w:asciiTheme="minorHAnsi" w:hAnsiTheme="minorHAnsi" w:cstheme="majorBidi"/>
          <w:bCs/>
          <w:color w:val="1F497D" w:themeColor="text2"/>
          <w:sz w:val="22"/>
          <w:szCs w:val="22"/>
        </w:rPr>
        <w:t>Understanding of the issue before the conflict</w:t>
      </w:r>
      <w:bookmarkEnd w:id="7"/>
      <w:bookmarkEnd w:id="8"/>
    </w:p>
    <w:p w:rsidR="009A50F9" w:rsidRPr="00343052" w:rsidRDefault="00773D36" w:rsidP="00343052">
      <w:pPr>
        <w:autoSpaceDE w:val="0"/>
        <w:autoSpaceDN w:val="0"/>
        <w:adjustRightInd w:val="0"/>
        <w:spacing w:after="0"/>
        <w:jc w:val="both"/>
        <w:rPr>
          <w:rFonts w:cstheme="majorBidi"/>
          <w:lang w:val="en-US"/>
        </w:rPr>
      </w:pPr>
      <w:r w:rsidRPr="00343052">
        <w:rPr>
          <w:rFonts w:cstheme="majorBidi"/>
          <w:b/>
          <w:bCs/>
        </w:rPr>
        <w:t>Cluster Munitions</w:t>
      </w:r>
      <w:r w:rsidRPr="00343052">
        <w:rPr>
          <w:rFonts w:cstheme="majorBidi"/>
        </w:rPr>
        <w:t xml:space="preserve">: Inhabitants of the occupied Syrian Golan were exposed to minefields prior to the conflict, with </w:t>
      </w:r>
      <w:r w:rsidRPr="00343052">
        <w:rPr>
          <w:rFonts w:cstheme="majorBidi"/>
          <w:lang w:val="en-US"/>
        </w:rPr>
        <w:t>about 2 million mines and 76 minefields in the Golan.</w:t>
      </w:r>
      <w:r w:rsidRPr="00343052">
        <w:rPr>
          <w:rStyle w:val="FootnoteReference"/>
          <w:rFonts w:cstheme="majorBidi"/>
          <w:lang w:val="en-US"/>
        </w:rPr>
        <w:footnoteReference w:id="11"/>
      </w:r>
    </w:p>
    <w:p w:rsidR="009A50F9" w:rsidRPr="00343052" w:rsidRDefault="009A50F9" w:rsidP="009A50F9">
      <w:pPr>
        <w:autoSpaceDE w:val="0"/>
        <w:autoSpaceDN w:val="0"/>
        <w:adjustRightInd w:val="0"/>
        <w:spacing w:after="0"/>
        <w:jc w:val="both"/>
        <w:rPr>
          <w:rFonts w:cstheme="majorBidi"/>
          <w:lang w:val="en-US"/>
        </w:rPr>
      </w:pPr>
    </w:p>
    <w:p w:rsidR="00A71958" w:rsidRPr="00343052" w:rsidRDefault="00D321B7" w:rsidP="00BA44E5">
      <w:pPr>
        <w:autoSpaceDE w:val="0"/>
        <w:autoSpaceDN w:val="0"/>
        <w:adjustRightInd w:val="0"/>
        <w:spacing w:after="0"/>
        <w:jc w:val="both"/>
        <w:rPr>
          <w:rFonts w:cstheme="majorBidi"/>
        </w:rPr>
      </w:pPr>
      <w:r w:rsidRPr="00343052">
        <w:rPr>
          <w:rFonts w:cstheme="majorBidi"/>
          <w:b/>
          <w:bCs/>
        </w:rPr>
        <w:t>Violence at home and school:</w:t>
      </w:r>
      <w:r w:rsidR="000A1895" w:rsidRPr="00343052">
        <w:rPr>
          <w:rFonts w:cstheme="majorBidi"/>
          <w:b/>
          <w:bCs/>
        </w:rPr>
        <w:t xml:space="preserve"> </w:t>
      </w:r>
      <w:r w:rsidR="005626AD" w:rsidRPr="00343052">
        <w:rPr>
          <w:rFonts w:cstheme="majorBidi"/>
        </w:rPr>
        <w:t>UNICEF reports 89% of children 2-14 years experiences violent discipline, defined as psychological aggression and/or physical punishment</w:t>
      </w:r>
      <w:r w:rsidR="002D7297" w:rsidRPr="00343052">
        <w:rPr>
          <w:rFonts w:cstheme="majorBidi"/>
        </w:rPr>
        <w:t xml:space="preserve"> (90% boys, 88% girls)</w:t>
      </w:r>
      <w:r w:rsidR="005626AD" w:rsidRPr="00343052">
        <w:rPr>
          <w:rFonts w:cstheme="majorBidi"/>
        </w:rPr>
        <w:t>.</w:t>
      </w:r>
      <w:r w:rsidR="005626AD" w:rsidRPr="00343052">
        <w:rPr>
          <w:rStyle w:val="FootnoteReference"/>
          <w:rFonts w:cstheme="majorBidi"/>
        </w:rPr>
        <w:footnoteReference w:id="12"/>
      </w:r>
      <w:r w:rsidR="005626AD" w:rsidRPr="00343052">
        <w:rPr>
          <w:rFonts w:cstheme="majorBidi"/>
        </w:rPr>
        <w:t xml:space="preserve"> </w:t>
      </w:r>
      <w:r w:rsidR="000A1895" w:rsidRPr="00343052">
        <w:rPr>
          <w:rFonts w:cstheme="majorBidi"/>
        </w:rPr>
        <w:t>In 2003</w:t>
      </w:r>
      <w:r w:rsidR="007B1402" w:rsidRPr="00343052">
        <w:rPr>
          <w:rFonts w:cstheme="majorBidi"/>
        </w:rPr>
        <w:t xml:space="preserve"> a baseline study of violence in homes and schools of over 25,000 children </w:t>
      </w:r>
      <w:r w:rsidR="00A71958" w:rsidRPr="00343052">
        <w:rPr>
          <w:rFonts w:cstheme="majorBidi"/>
        </w:rPr>
        <w:t xml:space="preserve">found </w:t>
      </w:r>
      <w:r w:rsidR="007B1402" w:rsidRPr="00343052">
        <w:rPr>
          <w:rFonts w:cstheme="majorBidi"/>
        </w:rPr>
        <w:t xml:space="preserve">80% of children were exposed to physical violence at home. </w:t>
      </w:r>
      <w:r w:rsidR="005626AD" w:rsidRPr="00343052">
        <w:rPr>
          <w:rFonts w:cstheme="majorBidi"/>
        </w:rPr>
        <w:t xml:space="preserve">It also found 65% of children had experienced severe forms of violence at school, with high levels in public schools and towards younger children. </w:t>
      </w:r>
      <w:r w:rsidR="007B1402" w:rsidRPr="00343052">
        <w:rPr>
          <w:rFonts w:cstheme="majorBidi"/>
        </w:rPr>
        <w:t>It found a higher prevalence in rural areas, and with lower parental educational attainment, high ho</w:t>
      </w:r>
      <w:r w:rsidR="00A71958" w:rsidRPr="00343052">
        <w:rPr>
          <w:rFonts w:cstheme="majorBidi"/>
        </w:rPr>
        <w:t>usehold density and family size</w:t>
      </w:r>
      <w:r w:rsidR="007B1402" w:rsidRPr="00343052">
        <w:rPr>
          <w:rFonts w:cstheme="majorBidi"/>
        </w:rPr>
        <w:t>.</w:t>
      </w:r>
      <w:r w:rsidR="007B1402" w:rsidRPr="00343052">
        <w:rPr>
          <w:rStyle w:val="FootnoteReference"/>
          <w:rFonts w:cstheme="majorBidi"/>
        </w:rPr>
        <w:footnoteReference w:id="13"/>
      </w:r>
      <w:r w:rsidR="00A71958" w:rsidRPr="00343052">
        <w:rPr>
          <w:rFonts w:cstheme="majorBidi"/>
        </w:rPr>
        <w:t xml:space="preserve"> </w:t>
      </w:r>
      <w:r w:rsidR="00BA44E5" w:rsidRPr="00343052">
        <w:rPr>
          <w:rFonts w:cstheme="majorBidi"/>
        </w:rPr>
        <w:t>There are n</w:t>
      </w:r>
      <w:r w:rsidR="00BA44E5" w:rsidRPr="00343052">
        <w:rPr>
          <w:rFonts w:cs="Times New Roman"/>
        </w:rPr>
        <w:t>o provision in domestic legislation that criminalises domestic violence, and no concrete measures to combat widespread abuse and neglect within the family.</w:t>
      </w:r>
      <w:r w:rsidR="00BA44E5" w:rsidRPr="00343052">
        <w:rPr>
          <w:rStyle w:val="FootnoteReference"/>
          <w:rFonts w:cs="Times New Roman"/>
        </w:rPr>
        <w:footnoteReference w:id="14"/>
      </w:r>
      <w:r w:rsidR="00BA44E5" w:rsidRPr="00343052">
        <w:rPr>
          <w:rFonts w:cstheme="majorBidi"/>
        </w:rPr>
        <w:t xml:space="preserve">  </w:t>
      </w:r>
    </w:p>
    <w:p w:rsidR="005626AD" w:rsidRPr="00343052" w:rsidRDefault="005626AD" w:rsidP="005626AD">
      <w:pPr>
        <w:autoSpaceDE w:val="0"/>
        <w:autoSpaceDN w:val="0"/>
        <w:adjustRightInd w:val="0"/>
        <w:spacing w:after="0"/>
        <w:jc w:val="both"/>
        <w:rPr>
          <w:rFonts w:cstheme="majorBidi"/>
        </w:rPr>
      </w:pPr>
    </w:p>
    <w:p w:rsidR="00402B3F" w:rsidRPr="00343052" w:rsidRDefault="007D08AB" w:rsidP="00A71958">
      <w:pPr>
        <w:autoSpaceDE w:val="0"/>
        <w:autoSpaceDN w:val="0"/>
        <w:adjustRightInd w:val="0"/>
        <w:spacing w:after="0"/>
        <w:jc w:val="both"/>
        <w:rPr>
          <w:rFonts w:cstheme="majorBidi"/>
        </w:rPr>
      </w:pPr>
      <w:r w:rsidRPr="00343052">
        <w:rPr>
          <w:rFonts w:cstheme="majorBidi"/>
          <w:b/>
          <w:bCs/>
        </w:rPr>
        <w:t>Correctional facilities</w:t>
      </w:r>
      <w:r w:rsidR="00D321B7" w:rsidRPr="00343052">
        <w:rPr>
          <w:rFonts w:cstheme="majorBidi"/>
        </w:rPr>
        <w:t xml:space="preserve">: </w:t>
      </w:r>
      <w:r w:rsidR="00402B3F" w:rsidRPr="00343052">
        <w:rPr>
          <w:rFonts w:cstheme="majorBidi"/>
        </w:rPr>
        <w:t>A study involving interviews with over 1000 children living in correctional and rehabilitative facilitie</w:t>
      </w:r>
      <w:r w:rsidR="000A1895" w:rsidRPr="00343052">
        <w:rPr>
          <w:rFonts w:cstheme="majorBidi"/>
        </w:rPr>
        <w:t>s highlighted a range of serious concerns</w:t>
      </w:r>
      <w:r w:rsidR="00402B3F" w:rsidRPr="00343052">
        <w:rPr>
          <w:rFonts w:cstheme="majorBidi"/>
        </w:rPr>
        <w:t>. It found many children are not informed of their rights upon arrest and were kept in detention for periods of up to 3 years before being brought to trial. Children who were granted bail were often unable to leave as their families were unable to make the payment. In some cases children had been placed in adult prisons and were exposed to verbal, physical and sexual assault by inmates and occasionally the arresting police and other adults in contact with them. Solitary confinement was used as a punishment for breaking rules. The study raised concerns about the availability of health and educational services, and noted that while social workers and teachers were available, they</w:t>
      </w:r>
      <w:r w:rsidR="000A1895" w:rsidRPr="00343052">
        <w:rPr>
          <w:rFonts w:cstheme="majorBidi"/>
        </w:rPr>
        <w:t xml:space="preserve"> are</w:t>
      </w:r>
      <w:r w:rsidR="00402B3F" w:rsidRPr="00343052">
        <w:rPr>
          <w:rFonts w:cstheme="majorBidi"/>
        </w:rPr>
        <w:t xml:space="preserve"> usually engaged in supervisory and office duties, rather than their assigned tasks. The study also found supplies and materials to be inadequate for a sanitary and rehabilitative environment.</w:t>
      </w:r>
      <w:r w:rsidR="00402B3F" w:rsidRPr="00343052">
        <w:rPr>
          <w:rStyle w:val="FootnoteReference"/>
          <w:rFonts w:cstheme="majorBidi"/>
        </w:rPr>
        <w:footnoteReference w:id="15"/>
      </w:r>
      <w:r w:rsidR="00402B3F" w:rsidRPr="00343052">
        <w:rPr>
          <w:rFonts w:cstheme="majorBidi"/>
        </w:rPr>
        <w:t xml:space="preserve"> </w:t>
      </w:r>
    </w:p>
    <w:p w:rsidR="00896143" w:rsidRDefault="00896143" w:rsidP="00D66F25">
      <w:pPr>
        <w:spacing w:after="0"/>
        <w:jc w:val="both"/>
        <w:rPr>
          <w:rFonts w:eastAsia="MS Mincho" w:cstheme="majorBidi"/>
          <w:i/>
          <w:color w:val="404040"/>
          <w:u w:val="single"/>
        </w:rPr>
      </w:pPr>
    </w:p>
    <w:p w:rsidR="00A12D55" w:rsidRDefault="00A12D55" w:rsidP="00D66F25">
      <w:pPr>
        <w:spacing w:after="0"/>
        <w:jc w:val="both"/>
        <w:rPr>
          <w:rFonts w:eastAsia="MS Mincho" w:cstheme="majorBidi"/>
          <w:i/>
          <w:color w:val="404040"/>
          <w:u w:val="single"/>
        </w:rPr>
      </w:pPr>
    </w:p>
    <w:p w:rsidR="00C97A42" w:rsidRPr="00343052" w:rsidRDefault="00C97A42" w:rsidP="00D66F25">
      <w:pPr>
        <w:spacing w:after="0"/>
        <w:jc w:val="both"/>
        <w:rPr>
          <w:rFonts w:eastAsia="MS Mincho" w:cstheme="majorBidi"/>
          <w:i/>
          <w:color w:val="404040"/>
          <w:u w:val="single"/>
        </w:rPr>
      </w:pPr>
    </w:p>
    <w:p w:rsidR="00896143" w:rsidRPr="00343052" w:rsidRDefault="00896143" w:rsidP="008212D4">
      <w:pPr>
        <w:pStyle w:val="DeskReview2"/>
        <w:numPr>
          <w:ilvl w:val="1"/>
          <w:numId w:val="47"/>
        </w:numPr>
        <w:spacing w:line="276" w:lineRule="auto"/>
        <w:jc w:val="both"/>
        <w:outlineLvl w:val="2"/>
        <w:rPr>
          <w:rFonts w:asciiTheme="minorHAnsi" w:hAnsiTheme="minorHAnsi" w:cstheme="majorBidi"/>
          <w:bCs/>
          <w:color w:val="1F497D" w:themeColor="text2"/>
          <w:sz w:val="22"/>
          <w:szCs w:val="22"/>
        </w:rPr>
      </w:pPr>
      <w:bookmarkStart w:id="9" w:name="_Toc358663761"/>
      <w:bookmarkStart w:id="10" w:name="_Toc367720282"/>
      <w:r w:rsidRPr="00343052">
        <w:rPr>
          <w:rFonts w:asciiTheme="minorHAnsi" w:hAnsiTheme="minorHAnsi" w:cstheme="majorBidi"/>
          <w:bCs/>
          <w:color w:val="1F497D" w:themeColor="text2"/>
          <w:sz w:val="22"/>
          <w:szCs w:val="22"/>
        </w:rPr>
        <w:lastRenderedPageBreak/>
        <w:t>Understanding of the issue since the onset of the conflict</w:t>
      </w:r>
      <w:bookmarkEnd w:id="9"/>
      <w:bookmarkEnd w:id="10"/>
    </w:p>
    <w:p w:rsidR="00D55DFB" w:rsidRPr="00343052" w:rsidRDefault="00C97A42" w:rsidP="00C97A42">
      <w:pPr>
        <w:pStyle w:val="Default"/>
        <w:spacing w:line="276" w:lineRule="auto"/>
        <w:jc w:val="both"/>
        <w:rPr>
          <w:rFonts w:asciiTheme="minorHAnsi" w:hAnsiTheme="minorHAnsi" w:cstheme="majorBidi"/>
          <w:sz w:val="22"/>
          <w:szCs w:val="22"/>
        </w:rPr>
      </w:pPr>
      <w:r>
        <w:rPr>
          <w:rFonts w:asciiTheme="minorHAnsi" w:hAnsiTheme="minorHAnsi" w:cstheme="majorBidi"/>
          <w:sz w:val="22"/>
          <w:szCs w:val="22"/>
          <w:lang w:val="en-GB"/>
        </w:rPr>
        <w:t>There are r</w:t>
      </w:r>
      <w:proofErr w:type="spellStart"/>
      <w:r w:rsidR="00A12D55">
        <w:rPr>
          <w:rFonts w:asciiTheme="minorHAnsi" w:hAnsiTheme="minorHAnsi" w:cstheme="majorBidi"/>
          <w:sz w:val="22"/>
          <w:szCs w:val="22"/>
        </w:rPr>
        <w:t>eports</w:t>
      </w:r>
      <w:proofErr w:type="spellEnd"/>
      <w:r w:rsidR="00A12D55">
        <w:rPr>
          <w:rFonts w:asciiTheme="minorHAnsi" w:hAnsiTheme="minorHAnsi" w:cstheme="majorBidi"/>
          <w:sz w:val="22"/>
          <w:szCs w:val="22"/>
        </w:rPr>
        <w:t xml:space="preserve"> of</w:t>
      </w:r>
      <w:r w:rsidR="00896143" w:rsidRPr="00343052">
        <w:rPr>
          <w:rFonts w:asciiTheme="minorHAnsi" w:hAnsiTheme="minorHAnsi" w:cstheme="majorBidi"/>
          <w:sz w:val="22"/>
          <w:szCs w:val="22"/>
        </w:rPr>
        <w:t xml:space="preserve"> murder, torture, rape,</w:t>
      </w:r>
      <w:r w:rsidR="00D55DFB" w:rsidRPr="00343052">
        <w:rPr>
          <w:rFonts w:asciiTheme="minorHAnsi" w:hAnsiTheme="minorHAnsi" w:cstheme="majorBidi"/>
          <w:sz w:val="22"/>
          <w:szCs w:val="22"/>
        </w:rPr>
        <w:t xml:space="preserve"> forced displacement,</w:t>
      </w:r>
      <w:r w:rsidR="00896143" w:rsidRPr="00343052">
        <w:rPr>
          <w:rFonts w:asciiTheme="minorHAnsi" w:hAnsiTheme="minorHAnsi" w:cstheme="majorBidi"/>
          <w:sz w:val="22"/>
          <w:szCs w:val="22"/>
        </w:rPr>
        <w:t xml:space="preserve"> enforced disappearances and other inhuman acts. </w:t>
      </w:r>
      <w:r w:rsidR="00A12D55">
        <w:rPr>
          <w:rFonts w:asciiTheme="minorHAnsi" w:hAnsiTheme="minorHAnsi" w:cstheme="majorBidi"/>
          <w:sz w:val="22"/>
          <w:szCs w:val="22"/>
        </w:rPr>
        <w:t>C</w:t>
      </w:r>
      <w:r w:rsidR="00D55DFB" w:rsidRPr="00343052">
        <w:rPr>
          <w:rFonts w:asciiTheme="minorHAnsi" w:hAnsiTheme="minorHAnsi" w:cstheme="majorBidi"/>
          <w:sz w:val="22"/>
          <w:szCs w:val="22"/>
        </w:rPr>
        <w:t xml:space="preserve">rimes </w:t>
      </w:r>
      <w:r w:rsidR="00A12D55">
        <w:rPr>
          <w:rFonts w:asciiTheme="minorHAnsi" w:hAnsiTheme="minorHAnsi" w:cstheme="majorBidi"/>
          <w:sz w:val="22"/>
          <w:szCs w:val="22"/>
        </w:rPr>
        <w:t xml:space="preserve">reportedly </w:t>
      </w:r>
      <w:r w:rsidR="00D55DFB" w:rsidRPr="00343052">
        <w:rPr>
          <w:rFonts w:asciiTheme="minorHAnsi" w:hAnsiTheme="minorHAnsi" w:cstheme="majorBidi"/>
          <w:sz w:val="22"/>
          <w:szCs w:val="22"/>
        </w:rPr>
        <w:t xml:space="preserve">perpetrated as part of widespread or systematic attacks against civilian populations. Summary executions, arbitrary arrest and detention, unlawful attack, attacking protected objects and pillaging and destroying property have also </w:t>
      </w:r>
      <w:r w:rsidR="00A12D55">
        <w:rPr>
          <w:rFonts w:asciiTheme="minorHAnsi" w:hAnsiTheme="minorHAnsi" w:cstheme="majorBidi"/>
          <w:sz w:val="22"/>
          <w:szCs w:val="22"/>
        </w:rPr>
        <w:t>been reported</w:t>
      </w:r>
      <w:r w:rsidR="00D55DFB" w:rsidRPr="00343052">
        <w:rPr>
          <w:rFonts w:asciiTheme="minorHAnsi" w:hAnsiTheme="minorHAnsi" w:cstheme="majorBidi"/>
          <w:sz w:val="22"/>
          <w:szCs w:val="22"/>
        </w:rPr>
        <w:t xml:space="preserve">.  </w:t>
      </w:r>
      <w:r w:rsidR="00A12D55">
        <w:rPr>
          <w:rFonts w:asciiTheme="minorHAnsi" w:hAnsiTheme="minorHAnsi" w:cstheme="majorBidi"/>
          <w:sz w:val="22"/>
          <w:szCs w:val="22"/>
        </w:rPr>
        <w:t>C</w:t>
      </w:r>
      <w:r w:rsidR="00D55DFB" w:rsidRPr="00343052">
        <w:rPr>
          <w:rFonts w:asciiTheme="minorHAnsi" w:hAnsiTheme="minorHAnsi" w:cstheme="majorBidi"/>
          <w:sz w:val="22"/>
          <w:szCs w:val="22"/>
        </w:rPr>
        <w:t xml:space="preserve">ivilian populations </w:t>
      </w:r>
      <w:r w:rsidR="00A12D55">
        <w:rPr>
          <w:rFonts w:asciiTheme="minorHAnsi" w:hAnsiTheme="minorHAnsi" w:cstheme="majorBidi"/>
          <w:sz w:val="22"/>
          <w:szCs w:val="22"/>
        </w:rPr>
        <w:t xml:space="preserve">endangered </w:t>
      </w:r>
      <w:r w:rsidR="00D55DFB" w:rsidRPr="00343052">
        <w:rPr>
          <w:rFonts w:asciiTheme="minorHAnsi" w:hAnsiTheme="minorHAnsi" w:cstheme="majorBidi"/>
          <w:sz w:val="22"/>
          <w:szCs w:val="22"/>
        </w:rPr>
        <w:t xml:space="preserve">by positioning </w:t>
      </w:r>
      <w:r w:rsidR="00A12D55">
        <w:rPr>
          <w:rFonts w:asciiTheme="minorHAnsi" w:hAnsiTheme="minorHAnsi" w:cstheme="majorBidi"/>
          <w:sz w:val="22"/>
          <w:szCs w:val="22"/>
        </w:rPr>
        <w:t xml:space="preserve">of </w:t>
      </w:r>
      <w:r w:rsidR="00D55DFB" w:rsidRPr="00343052">
        <w:rPr>
          <w:rFonts w:asciiTheme="minorHAnsi" w:hAnsiTheme="minorHAnsi" w:cstheme="majorBidi"/>
          <w:sz w:val="22"/>
          <w:szCs w:val="22"/>
        </w:rPr>
        <w:t>military objectives in civilian areas.</w:t>
      </w:r>
      <w:r w:rsidR="00D55DFB" w:rsidRPr="00343052">
        <w:rPr>
          <w:rStyle w:val="FootnoteReference"/>
          <w:rFonts w:asciiTheme="minorHAnsi" w:hAnsiTheme="minorHAnsi" w:cstheme="majorBidi"/>
          <w:sz w:val="22"/>
          <w:szCs w:val="22"/>
        </w:rPr>
        <w:footnoteReference w:id="16"/>
      </w:r>
      <w:r w:rsidR="00D55DFB" w:rsidRPr="00343052">
        <w:rPr>
          <w:rFonts w:asciiTheme="minorHAnsi" w:hAnsiTheme="minorHAnsi" w:cstheme="majorBidi"/>
          <w:sz w:val="22"/>
          <w:szCs w:val="22"/>
        </w:rPr>
        <w:t xml:space="preserve"> </w:t>
      </w:r>
    </w:p>
    <w:p w:rsidR="00896143" w:rsidRPr="00343052" w:rsidRDefault="00896143" w:rsidP="00D66F25">
      <w:pPr>
        <w:pStyle w:val="Default"/>
        <w:spacing w:line="276" w:lineRule="auto"/>
        <w:jc w:val="both"/>
        <w:rPr>
          <w:rFonts w:asciiTheme="minorHAnsi" w:hAnsiTheme="minorHAnsi" w:cstheme="majorBidi"/>
          <w:color w:val="auto"/>
          <w:sz w:val="22"/>
          <w:szCs w:val="22"/>
        </w:rPr>
      </w:pPr>
    </w:p>
    <w:p w:rsidR="00124CA1" w:rsidRPr="00343052" w:rsidRDefault="00124CA1" w:rsidP="00D66F25">
      <w:pPr>
        <w:pStyle w:val="Default"/>
        <w:spacing w:line="276" w:lineRule="auto"/>
        <w:jc w:val="both"/>
        <w:rPr>
          <w:rFonts w:asciiTheme="minorHAnsi" w:hAnsiTheme="minorHAnsi" w:cstheme="majorBidi"/>
          <w:color w:val="auto"/>
          <w:sz w:val="22"/>
          <w:szCs w:val="22"/>
        </w:rPr>
      </w:pPr>
      <w:r w:rsidRPr="00343052">
        <w:rPr>
          <w:rFonts w:asciiTheme="minorHAnsi" w:hAnsiTheme="minorHAnsi" w:cstheme="majorBidi"/>
          <w:color w:val="auto"/>
          <w:sz w:val="22"/>
          <w:szCs w:val="22"/>
        </w:rPr>
        <w:t xml:space="preserve">The conflict in Syria has deepened social, political and sectarian fault lines. There is concern that the conflict may result in increasing acts of reprisal against those perceived to be supportive of one side or the other, in particular against religious minority groups, but also Palestine and other refugees. Shi’ites and </w:t>
      </w:r>
      <w:proofErr w:type="spellStart"/>
      <w:r w:rsidRPr="00343052">
        <w:rPr>
          <w:rFonts w:asciiTheme="minorHAnsi" w:hAnsiTheme="minorHAnsi" w:cstheme="majorBidi"/>
          <w:color w:val="auto"/>
          <w:sz w:val="22"/>
          <w:szCs w:val="22"/>
        </w:rPr>
        <w:t>Alawites</w:t>
      </w:r>
      <w:proofErr w:type="spellEnd"/>
      <w:r w:rsidRPr="00343052">
        <w:rPr>
          <w:rFonts w:asciiTheme="minorHAnsi" w:hAnsiTheme="minorHAnsi" w:cstheme="majorBidi"/>
          <w:color w:val="auto"/>
          <w:sz w:val="22"/>
          <w:szCs w:val="22"/>
        </w:rPr>
        <w:t xml:space="preserve"> have been targeted in Damascus, Homs and </w:t>
      </w:r>
      <w:proofErr w:type="spellStart"/>
      <w:r w:rsidRPr="00343052">
        <w:rPr>
          <w:rFonts w:asciiTheme="minorHAnsi" w:hAnsiTheme="minorHAnsi" w:cstheme="majorBidi"/>
          <w:color w:val="auto"/>
          <w:sz w:val="22"/>
          <w:szCs w:val="22"/>
        </w:rPr>
        <w:t>Dar’a</w:t>
      </w:r>
      <w:proofErr w:type="spellEnd"/>
      <w:r w:rsidRPr="00343052">
        <w:rPr>
          <w:rFonts w:asciiTheme="minorHAnsi" w:hAnsiTheme="minorHAnsi" w:cstheme="majorBidi"/>
          <w:color w:val="auto"/>
          <w:sz w:val="22"/>
          <w:szCs w:val="22"/>
        </w:rPr>
        <w:t>. Christians in Homs also report being targeted. Kidnappings and counter kidnappings along confessional lines have increased in recent months. The Commission has also reported that wounded and sick persons have been refused treatment on</w:t>
      </w:r>
      <w:r w:rsidR="00D87BC5" w:rsidRPr="00343052">
        <w:rPr>
          <w:rFonts w:asciiTheme="minorHAnsi" w:hAnsiTheme="minorHAnsi" w:cstheme="majorBidi"/>
          <w:color w:val="auto"/>
          <w:sz w:val="22"/>
          <w:szCs w:val="22"/>
        </w:rPr>
        <w:t xml:space="preserve"> sectarian or political grounds.</w:t>
      </w:r>
      <w:r w:rsidR="00D87BC5" w:rsidRPr="00343052">
        <w:rPr>
          <w:rStyle w:val="FootnoteReference"/>
          <w:rFonts w:asciiTheme="minorHAnsi" w:hAnsiTheme="minorHAnsi" w:cstheme="majorBidi"/>
          <w:color w:val="auto"/>
          <w:sz w:val="22"/>
          <w:szCs w:val="22"/>
        </w:rPr>
        <w:footnoteReference w:id="17"/>
      </w:r>
    </w:p>
    <w:p w:rsidR="00124CA1" w:rsidRPr="00343052" w:rsidRDefault="00124CA1" w:rsidP="00D66F25">
      <w:pPr>
        <w:contextualSpacing/>
        <w:jc w:val="both"/>
        <w:rPr>
          <w:rFonts w:cstheme="majorBidi"/>
        </w:rPr>
      </w:pPr>
    </w:p>
    <w:p w:rsidR="00D55DFB" w:rsidRPr="00343052" w:rsidRDefault="00D55DFB" w:rsidP="00D66F25">
      <w:pPr>
        <w:contextualSpacing/>
        <w:jc w:val="both"/>
        <w:rPr>
          <w:rFonts w:cstheme="majorBidi"/>
        </w:rPr>
      </w:pPr>
      <w:r w:rsidRPr="00343052">
        <w:rPr>
          <w:rFonts w:cstheme="majorBidi"/>
        </w:rPr>
        <w:t xml:space="preserve">While disaggregated data </w:t>
      </w:r>
      <w:r w:rsidR="007D02E2" w:rsidRPr="00343052">
        <w:rPr>
          <w:rFonts w:cstheme="majorBidi"/>
        </w:rPr>
        <w:t xml:space="preserve">on the number of children affected </w:t>
      </w:r>
      <w:r w:rsidRPr="00343052">
        <w:rPr>
          <w:rFonts w:cstheme="majorBidi"/>
        </w:rPr>
        <w:t>is not available, attacks in populated areas and the systematic destruction of primary infrastructures such as hospitals and schools, coupled with armed groups taking up military positions inside civilian areas</w:t>
      </w:r>
      <w:r w:rsidRPr="00343052">
        <w:rPr>
          <w:rStyle w:val="FootnoteReference"/>
          <w:rFonts w:cstheme="majorBidi"/>
        </w:rPr>
        <w:footnoteReference w:id="18"/>
      </w:r>
      <w:r w:rsidRPr="00343052">
        <w:rPr>
          <w:rFonts w:cstheme="majorBidi"/>
        </w:rPr>
        <w:t>,</w:t>
      </w:r>
      <w:r w:rsidRPr="00343052">
        <w:rPr>
          <w:rFonts w:cstheme="majorBidi"/>
          <w:color w:val="1F497D" w:themeColor="text2"/>
        </w:rPr>
        <w:t xml:space="preserve"> </w:t>
      </w:r>
      <w:r w:rsidRPr="00343052">
        <w:rPr>
          <w:rFonts w:cstheme="majorBidi"/>
        </w:rPr>
        <w:t xml:space="preserve">underline the risk of physical injuries, permanent disability and death among children. </w:t>
      </w:r>
    </w:p>
    <w:p w:rsidR="00124CA1" w:rsidRPr="00343052" w:rsidRDefault="00124CA1" w:rsidP="00D66F25">
      <w:pPr>
        <w:contextualSpacing/>
        <w:jc w:val="both"/>
        <w:rPr>
          <w:rFonts w:cstheme="majorBidi"/>
        </w:rPr>
      </w:pPr>
    </w:p>
    <w:p w:rsidR="00D87BC5" w:rsidRPr="00343052" w:rsidRDefault="00D87BC5" w:rsidP="00D66F25">
      <w:pPr>
        <w:spacing w:after="0"/>
        <w:contextualSpacing/>
        <w:jc w:val="both"/>
        <w:rPr>
          <w:rFonts w:cstheme="majorBidi"/>
          <w:b/>
          <w:bCs/>
        </w:rPr>
      </w:pPr>
    </w:p>
    <w:p w:rsidR="00FE2CE4" w:rsidRDefault="002B09A3" w:rsidP="00773D36">
      <w:pPr>
        <w:spacing w:after="0"/>
        <w:contextualSpacing/>
        <w:jc w:val="both"/>
        <w:rPr>
          <w:rFonts w:cstheme="majorBidi"/>
        </w:rPr>
      </w:pPr>
      <w:r w:rsidRPr="00343052">
        <w:rPr>
          <w:rFonts w:cstheme="majorBidi"/>
          <w:b/>
          <w:bCs/>
        </w:rPr>
        <w:t>Killings and Injuries</w:t>
      </w:r>
      <w:r w:rsidR="00896143" w:rsidRPr="00343052">
        <w:rPr>
          <w:rFonts w:cstheme="majorBidi"/>
          <w:b/>
          <w:bCs/>
        </w:rPr>
        <w:t xml:space="preserve">: </w:t>
      </w:r>
      <w:r w:rsidR="000A1895" w:rsidRPr="00343052">
        <w:rPr>
          <w:rFonts w:cstheme="majorBidi"/>
          <w:b/>
          <w:bCs/>
        </w:rPr>
        <w:t xml:space="preserve"> </w:t>
      </w:r>
      <w:r w:rsidR="00D87BC5" w:rsidRPr="00343052">
        <w:rPr>
          <w:rFonts w:cstheme="majorBidi"/>
        </w:rPr>
        <w:t>By May 2013, the overall number of fatalities in Syria had reached 80,000 people</w:t>
      </w:r>
      <w:r w:rsidR="00D87BC5" w:rsidRPr="00343052">
        <w:rPr>
          <w:rStyle w:val="FootnoteReference"/>
          <w:rFonts w:cstheme="majorBidi"/>
        </w:rPr>
        <w:footnoteReference w:id="19"/>
      </w:r>
      <w:r w:rsidR="00D87BC5" w:rsidRPr="00343052">
        <w:rPr>
          <w:rFonts w:cstheme="majorBidi"/>
        </w:rPr>
        <w:t xml:space="preserve">. There has been a steady increase in the number of monthly casualties from around 1,000 per month in </w:t>
      </w:r>
      <w:r w:rsidR="00773D36" w:rsidRPr="00343052">
        <w:rPr>
          <w:rFonts w:cstheme="majorBidi"/>
        </w:rPr>
        <w:t>mid-</w:t>
      </w:r>
      <w:r w:rsidR="00D87BC5" w:rsidRPr="00343052">
        <w:rPr>
          <w:rFonts w:cstheme="majorBidi"/>
        </w:rPr>
        <w:t>2011 to an average of more than 5,000 per month since July 2012</w:t>
      </w:r>
      <w:r w:rsidR="00D87BC5" w:rsidRPr="00343052">
        <w:rPr>
          <w:rStyle w:val="FootnoteReference"/>
          <w:rFonts w:cstheme="majorBidi"/>
        </w:rPr>
        <w:footnoteReference w:id="20"/>
      </w:r>
      <w:r w:rsidR="00D87BC5" w:rsidRPr="00343052">
        <w:rPr>
          <w:rFonts w:cstheme="majorBidi"/>
        </w:rPr>
        <w:t xml:space="preserve">. </w:t>
      </w:r>
      <w:r w:rsidR="00773D36" w:rsidRPr="00343052">
        <w:t>The World Health Organisation has estimated that more than 400,000 people (~1.5% of total population) have been injured between March 2011 and April 2013, with many resulting in long-term disabilities.</w:t>
      </w:r>
      <w:r w:rsidR="00773D36" w:rsidRPr="00343052">
        <w:rPr>
          <w:rStyle w:val="FootnoteReference"/>
        </w:rPr>
        <w:footnoteReference w:id="21"/>
      </w:r>
      <w:r w:rsidR="00D87BC5" w:rsidRPr="00343052">
        <w:rPr>
          <w:rFonts w:cstheme="majorBidi"/>
        </w:rPr>
        <w:t xml:space="preserve"> </w:t>
      </w:r>
      <w:r w:rsidR="00FE2CE4" w:rsidRPr="00343052">
        <w:rPr>
          <w:rFonts w:cstheme="majorBidi"/>
        </w:rPr>
        <w:t xml:space="preserve">An assessment in northern Syria, estimates </w:t>
      </w:r>
      <w:r w:rsidR="00307DAF" w:rsidRPr="00343052">
        <w:rPr>
          <w:rFonts w:cstheme="majorBidi"/>
        </w:rPr>
        <w:t>almost 13,500</w:t>
      </w:r>
      <w:r w:rsidR="00FE2CE4" w:rsidRPr="00343052">
        <w:rPr>
          <w:rFonts w:cstheme="majorBidi"/>
        </w:rPr>
        <w:t xml:space="preserve"> children have been </w:t>
      </w:r>
      <w:r w:rsidR="00307DAF" w:rsidRPr="00343052">
        <w:rPr>
          <w:rFonts w:cstheme="majorBidi"/>
        </w:rPr>
        <w:t xml:space="preserve">killed and </w:t>
      </w:r>
      <w:r w:rsidR="00FE2CE4" w:rsidRPr="00343052">
        <w:rPr>
          <w:rFonts w:cstheme="majorBidi"/>
        </w:rPr>
        <w:t xml:space="preserve">injured during the conflict in the assessed areas, with the largest number of causalities reported in Aleppo and </w:t>
      </w:r>
      <w:r w:rsidR="00307DAF" w:rsidRPr="00343052">
        <w:rPr>
          <w:rFonts w:cstheme="majorBidi"/>
        </w:rPr>
        <w:t>Hama</w:t>
      </w:r>
      <w:r w:rsidR="00FE2CE4" w:rsidRPr="00343052">
        <w:rPr>
          <w:rFonts w:cstheme="majorBidi"/>
        </w:rPr>
        <w:t xml:space="preserve"> governorates.</w:t>
      </w:r>
      <w:r w:rsidR="00FE2CE4" w:rsidRPr="00343052">
        <w:rPr>
          <w:rStyle w:val="FootnoteReference"/>
          <w:rFonts w:cstheme="majorBidi"/>
        </w:rPr>
        <w:footnoteReference w:id="22"/>
      </w:r>
      <w:r w:rsidR="00FE2CE4" w:rsidRPr="00343052">
        <w:rPr>
          <w:rFonts w:cstheme="majorBidi"/>
        </w:rPr>
        <w:t xml:space="preserve"> </w:t>
      </w:r>
      <w:r w:rsidR="00F07C0F" w:rsidRPr="00343052">
        <w:rPr>
          <w:rFonts w:cstheme="majorBidi"/>
        </w:rPr>
        <w:t>Despite efforts by OHCHR to conduct an analysis of fatalities since the beginning of the conflict based on seven different datasets, n</w:t>
      </w:r>
      <w:r w:rsidR="00FE2CE4" w:rsidRPr="00343052">
        <w:rPr>
          <w:rFonts w:cstheme="majorBidi"/>
        </w:rPr>
        <w:t>o definitive numbers on the fatalities or casualties of children across Syria are available.</w:t>
      </w:r>
      <w:r w:rsidR="00287520" w:rsidRPr="00343052">
        <w:rPr>
          <w:rFonts w:cstheme="majorBidi"/>
        </w:rPr>
        <w:t xml:space="preserve"> </w:t>
      </w:r>
    </w:p>
    <w:p w:rsidR="00851480" w:rsidRDefault="00851480" w:rsidP="00773D36">
      <w:pPr>
        <w:spacing w:after="0"/>
        <w:contextualSpacing/>
        <w:jc w:val="both"/>
        <w:rPr>
          <w:rFonts w:cstheme="majorBidi"/>
        </w:rPr>
      </w:pPr>
    </w:p>
    <w:p w:rsidR="00851480" w:rsidRDefault="00851480" w:rsidP="00773D36">
      <w:pPr>
        <w:spacing w:after="0"/>
        <w:contextualSpacing/>
        <w:jc w:val="both"/>
        <w:rPr>
          <w:rFonts w:cstheme="majorBidi"/>
        </w:rPr>
      </w:pPr>
      <w:r>
        <w:rPr>
          <w:rFonts w:cstheme="majorBidi"/>
        </w:rPr>
        <w:t xml:space="preserve">An updated analysis carried out by data specialists on behalf of UN Human Rights office has led to the compilation of a list of 92,901 documented cases of individuals killed in Syria between March 2011 and the end of April 2013. The study was conducted using a combined list reported killings, fully identified by the name of the victim, as well as the data and location of the death. Any reported killing that did not include at these three elements was excluded from the list, which was compiled using datasets from eight different sources. Each reported killing was compared to all the other reported killings in order to identify duplicates. After duplicates were merged, the combine dataset </w:t>
      </w:r>
      <w:r>
        <w:rPr>
          <w:rFonts w:cstheme="majorBidi"/>
        </w:rPr>
        <w:lastRenderedPageBreak/>
        <w:t>was reduced to 92,901 unique records of conflict-related deaths as of 30 April 2013. This total is likely to underestimate the actual number of killings.</w:t>
      </w:r>
      <w:r>
        <w:rPr>
          <w:rStyle w:val="FootnoteReference"/>
          <w:rFonts w:cstheme="majorBidi"/>
        </w:rPr>
        <w:footnoteReference w:id="23"/>
      </w:r>
      <w:r>
        <w:rPr>
          <w:rFonts w:cstheme="majorBidi"/>
        </w:rPr>
        <w:t xml:space="preserve"> </w:t>
      </w:r>
    </w:p>
    <w:p w:rsidR="00851480" w:rsidRDefault="00851480" w:rsidP="00773D36">
      <w:pPr>
        <w:spacing w:after="0"/>
        <w:contextualSpacing/>
        <w:jc w:val="both"/>
        <w:rPr>
          <w:rFonts w:cstheme="majorBidi"/>
        </w:rPr>
      </w:pPr>
    </w:p>
    <w:p w:rsidR="00851480" w:rsidRDefault="00851480" w:rsidP="00773D36">
      <w:pPr>
        <w:spacing w:after="0"/>
        <w:contextualSpacing/>
        <w:jc w:val="both"/>
        <w:rPr>
          <w:rFonts w:cstheme="majorBidi"/>
        </w:rPr>
      </w:pPr>
      <w:r>
        <w:rPr>
          <w:rFonts w:cstheme="majorBidi"/>
        </w:rPr>
        <w:t xml:space="preserve">The study shows the greatest number of documented killings has been recorded in the governorates of Rural Damascus (17,800), Homs (16,400), </w:t>
      </w:r>
      <w:proofErr w:type="gramStart"/>
      <w:r>
        <w:rPr>
          <w:rFonts w:cstheme="majorBidi"/>
        </w:rPr>
        <w:t>Aleppo</w:t>
      </w:r>
      <w:proofErr w:type="gramEnd"/>
      <w:r>
        <w:rPr>
          <w:rFonts w:cstheme="majorBidi"/>
        </w:rPr>
        <w:t xml:space="preserve"> (11,900), </w:t>
      </w:r>
      <w:proofErr w:type="spellStart"/>
      <w:r>
        <w:rPr>
          <w:rFonts w:cstheme="majorBidi"/>
        </w:rPr>
        <w:t>Idlib</w:t>
      </w:r>
      <w:proofErr w:type="spellEnd"/>
      <w:r>
        <w:rPr>
          <w:rFonts w:cstheme="majorBidi"/>
        </w:rPr>
        <w:t xml:space="preserve"> (10,300), </w:t>
      </w:r>
      <w:proofErr w:type="spellStart"/>
      <w:r>
        <w:rPr>
          <w:rFonts w:cstheme="majorBidi"/>
        </w:rPr>
        <w:t>Dar’a</w:t>
      </w:r>
      <w:proofErr w:type="spellEnd"/>
      <w:r>
        <w:rPr>
          <w:rFonts w:cstheme="majorBidi"/>
        </w:rPr>
        <w:t xml:space="preserve"> (8,600), Hama (8,100), Damascus (6,400) and </w:t>
      </w:r>
      <w:proofErr w:type="spellStart"/>
      <w:r>
        <w:rPr>
          <w:rFonts w:cstheme="majorBidi"/>
        </w:rPr>
        <w:t>Deir</w:t>
      </w:r>
      <w:proofErr w:type="spellEnd"/>
      <w:r>
        <w:rPr>
          <w:rFonts w:cstheme="majorBidi"/>
        </w:rPr>
        <w:t xml:space="preserve"> </w:t>
      </w:r>
      <w:proofErr w:type="spellStart"/>
      <w:r>
        <w:rPr>
          <w:rFonts w:cstheme="majorBidi"/>
        </w:rPr>
        <w:t>ez-Zor</w:t>
      </w:r>
      <w:proofErr w:type="spellEnd"/>
      <w:r>
        <w:rPr>
          <w:rFonts w:cstheme="majorBidi"/>
        </w:rPr>
        <w:t xml:space="preserve"> (5,700). </w:t>
      </w:r>
      <w:r w:rsidR="00653E5F">
        <w:rPr>
          <w:rStyle w:val="FootnoteReference"/>
          <w:rFonts w:cstheme="majorBidi"/>
        </w:rPr>
        <w:footnoteReference w:id="24"/>
      </w:r>
    </w:p>
    <w:p w:rsidR="00851480" w:rsidRDefault="00851480" w:rsidP="00773D36">
      <w:pPr>
        <w:spacing w:after="0"/>
        <w:contextualSpacing/>
        <w:jc w:val="both"/>
        <w:rPr>
          <w:rFonts w:cstheme="majorBidi"/>
        </w:rPr>
      </w:pPr>
    </w:p>
    <w:p w:rsidR="00851480" w:rsidRPr="00343052" w:rsidRDefault="00851480" w:rsidP="00773D36">
      <w:pPr>
        <w:spacing w:after="0"/>
        <w:contextualSpacing/>
        <w:jc w:val="both"/>
        <w:rPr>
          <w:rFonts w:cstheme="majorBidi"/>
          <w:b/>
          <w:bCs/>
        </w:rPr>
      </w:pPr>
      <w:r>
        <w:rPr>
          <w:rFonts w:cstheme="majorBidi"/>
        </w:rPr>
        <w:t xml:space="preserve">Around three-quarters of the reported killings do not record the victim’s age. Nevertheless, the killings of at least 6,561 children, including 1,729 children under 10 years old have been documented. </w:t>
      </w:r>
      <w:r w:rsidR="00653E5F">
        <w:rPr>
          <w:rStyle w:val="FootnoteReference"/>
          <w:rFonts w:cstheme="majorBidi"/>
        </w:rPr>
        <w:footnoteReference w:id="25"/>
      </w:r>
    </w:p>
    <w:p w:rsidR="00D87BC5" w:rsidRPr="00343052" w:rsidRDefault="00D87BC5" w:rsidP="00D66F25">
      <w:pPr>
        <w:contextualSpacing/>
        <w:jc w:val="both"/>
        <w:rPr>
          <w:rFonts w:cstheme="majorBidi"/>
          <w:b/>
          <w:bCs/>
          <w:color w:val="4F81BD" w:themeColor="accent1"/>
        </w:rPr>
      </w:pPr>
    </w:p>
    <w:p w:rsidR="00896143" w:rsidRPr="00343052" w:rsidRDefault="00D87BC5" w:rsidP="00773D36">
      <w:pPr>
        <w:spacing w:after="0"/>
        <w:contextualSpacing/>
        <w:jc w:val="both"/>
        <w:rPr>
          <w:rFonts w:cstheme="majorBidi"/>
        </w:rPr>
      </w:pPr>
      <w:r w:rsidRPr="00343052">
        <w:rPr>
          <w:rFonts w:cstheme="majorBidi"/>
        </w:rPr>
        <w:t>Civilian</w:t>
      </w:r>
      <w:r w:rsidR="00DD72CB" w:rsidRPr="00343052">
        <w:rPr>
          <w:rFonts w:cstheme="majorBidi"/>
        </w:rPr>
        <w:t>s</w:t>
      </w:r>
      <w:r w:rsidRPr="00343052">
        <w:rPr>
          <w:rFonts w:cstheme="majorBidi"/>
        </w:rPr>
        <w:t xml:space="preserve"> bear the brunt of violent and often indiscriminate attacks through the extensive use of shelling, barrel bombs and aerial bombardment, as well as surface-to-surface missiles</w:t>
      </w:r>
      <w:r w:rsidR="00DD72CB" w:rsidRPr="00343052">
        <w:rPr>
          <w:rFonts w:cstheme="majorBidi"/>
        </w:rPr>
        <w:t>, cluster munitions</w:t>
      </w:r>
      <w:r w:rsidR="00DD72CB" w:rsidRPr="00343052">
        <w:rPr>
          <w:rStyle w:val="FootnoteReference"/>
          <w:rFonts w:cstheme="majorBidi"/>
        </w:rPr>
        <w:footnoteReference w:id="26"/>
      </w:r>
      <w:r w:rsidR="00DD72CB" w:rsidRPr="00343052">
        <w:rPr>
          <w:rFonts w:cstheme="majorBidi"/>
        </w:rPr>
        <w:t>, massive killings and the deliberate firing on civilian targets</w:t>
      </w:r>
      <w:r w:rsidRPr="00343052">
        <w:rPr>
          <w:rStyle w:val="FootnoteReference"/>
          <w:rFonts w:cstheme="majorBidi"/>
        </w:rPr>
        <w:footnoteReference w:id="27"/>
      </w:r>
      <w:r w:rsidRPr="00343052">
        <w:rPr>
          <w:rFonts w:cstheme="majorBidi"/>
        </w:rPr>
        <w:t xml:space="preserve"> </w:t>
      </w:r>
      <w:r w:rsidR="00A5097E" w:rsidRPr="00343052">
        <w:rPr>
          <w:rFonts w:cstheme="majorBidi"/>
        </w:rPr>
        <w:t>In mid-March 2013, it was reported that the use of cluster munitions is causing mounting civilian casualties</w:t>
      </w:r>
      <w:r w:rsidR="00A5097E" w:rsidRPr="00343052">
        <w:rPr>
          <w:rStyle w:val="FootnoteReference"/>
          <w:rFonts w:cstheme="majorBidi"/>
        </w:rPr>
        <w:footnoteReference w:id="28"/>
      </w:r>
      <w:r w:rsidR="007D02E2" w:rsidRPr="00343052">
        <w:rPr>
          <w:rFonts w:cstheme="majorBidi"/>
        </w:rPr>
        <w:t xml:space="preserve">, for example, </w:t>
      </w:r>
      <w:r w:rsidRPr="00343052">
        <w:rPr>
          <w:rFonts w:cstheme="majorBidi"/>
        </w:rPr>
        <w:t xml:space="preserve">between 18 March - 7 April 2013 </w:t>
      </w:r>
      <w:r w:rsidR="00896143" w:rsidRPr="00343052">
        <w:rPr>
          <w:rFonts w:cstheme="majorBidi"/>
        </w:rPr>
        <w:t xml:space="preserve">36 children </w:t>
      </w:r>
      <w:r w:rsidRPr="00343052">
        <w:rPr>
          <w:rFonts w:cstheme="majorBidi"/>
        </w:rPr>
        <w:t xml:space="preserve">were </w:t>
      </w:r>
      <w:r w:rsidR="00896143" w:rsidRPr="00343052">
        <w:rPr>
          <w:rFonts w:cstheme="majorBidi"/>
        </w:rPr>
        <w:t>killed by airstrikes and cluster bombs in Aleppo.</w:t>
      </w:r>
      <w:r w:rsidR="00896143" w:rsidRPr="00343052">
        <w:rPr>
          <w:rStyle w:val="FootnoteReference"/>
          <w:rFonts w:cstheme="majorBidi"/>
        </w:rPr>
        <w:footnoteReference w:id="29"/>
      </w:r>
      <w:r w:rsidR="00896143" w:rsidRPr="00343052">
        <w:rPr>
          <w:rFonts w:cstheme="majorBidi"/>
        </w:rPr>
        <w:t xml:space="preserve">  </w:t>
      </w:r>
    </w:p>
    <w:p w:rsidR="00896143" w:rsidRPr="00343052" w:rsidRDefault="00896143" w:rsidP="00D66F25">
      <w:pPr>
        <w:autoSpaceDE w:val="0"/>
        <w:autoSpaceDN w:val="0"/>
        <w:adjustRightInd w:val="0"/>
        <w:spacing w:after="0"/>
        <w:jc w:val="both"/>
        <w:rPr>
          <w:rFonts w:cstheme="majorBidi"/>
          <w:b/>
          <w:bCs/>
        </w:rPr>
      </w:pPr>
    </w:p>
    <w:p w:rsidR="00A5097E" w:rsidRPr="00343052" w:rsidRDefault="00A5097E" w:rsidP="00AA1D0D">
      <w:pPr>
        <w:spacing w:after="0"/>
        <w:contextualSpacing/>
        <w:jc w:val="both"/>
        <w:rPr>
          <w:rFonts w:cstheme="majorBidi"/>
        </w:rPr>
      </w:pPr>
      <w:r w:rsidRPr="00343052">
        <w:rPr>
          <w:rFonts w:cstheme="majorBidi"/>
        </w:rPr>
        <w:t>In June 2012,</w:t>
      </w:r>
      <w:r w:rsidRPr="00343052">
        <w:rPr>
          <w:rFonts w:cstheme="majorBidi"/>
          <w:b/>
          <w:bCs/>
        </w:rPr>
        <w:t xml:space="preserve"> </w:t>
      </w:r>
      <w:r w:rsidRPr="00343052">
        <w:rPr>
          <w:rFonts w:cstheme="majorBidi"/>
        </w:rPr>
        <w:t xml:space="preserve">it was reported that landmines had been set near the Turkish border (Southern </w:t>
      </w:r>
      <w:proofErr w:type="spellStart"/>
      <w:r w:rsidRPr="00343052">
        <w:rPr>
          <w:rFonts w:cstheme="majorBidi"/>
        </w:rPr>
        <w:t>Idlib</w:t>
      </w:r>
      <w:proofErr w:type="spellEnd"/>
      <w:r w:rsidRPr="00343052">
        <w:rPr>
          <w:rFonts w:cstheme="majorBidi"/>
        </w:rPr>
        <w:t xml:space="preserve"> region) aimed at blocking refugees and supplies for insurgents.</w:t>
      </w:r>
      <w:r w:rsidRPr="00343052">
        <w:rPr>
          <w:rStyle w:val="FootnoteReference"/>
          <w:rFonts w:cstheme="majorBidi"/>
        </w:rPr>
        <w:footnoteReference w:id="30"/>
      </w:r>
      <w:r w:rsidR="009E5986" w:rsidRPr="00343052">
        <w:rPr>
          <w:rFonts w:cstheme="majorBidi"/>
        </w:rPr>
        <w:t xml:space="preserve"> In an assessment of </w:t>
      </w:r>
      <w:r w:rsidR="00AA1D0D">
        <w:rPr>
          <w:rFonts w:cstheme="majorBidi"/>
        </w:rPr>
        <w:t>n</w:t>
      </w:r>
      <w:r w:rsidR="009E5986" w:rsidRPr="00343052">
        <w:rPr>
          <w:rFonts w:cstheme="majorBidi"/>
        </w:rPr>
        <w:t xml:space="preserve">orth Syria, the presence of UXOs was reported in </w:t>
      </w:r>
      <w:proofErr w:type="spellStart"/>
      <w:r w:rsidR="009E5986" w:rsidRPr="00343052">
        <w:rPr>
          <w:rFonts w:cstheme="majorBidi"/>
        </w:rPr>
        <w:t>Deir-ez-Zor</w:t>
      </w:r>
      <w:proofErr w:type="spellEnd"/>
      <w:r w:rsidR="009E5986" w:rsidRPr="00343052">
        <w:rPr>
          <w:rFonts w:cstheme="majorBidi"/>
        </w:rPr>
        <w:t xml:space="preserve">, </w:t>
      </w:r>
      <w:proofErr w:type="spellStart"/>
      <w:r w:rsidR="009E5986" w:rsidRPr="00343052">
        <w:rPr>
          <w:rFonts w:cstheme="majorBidi"/>
        </w:rPr>
        <w:t>Idleb</w:t>
      </w:r>
      <w:proofErr w:type="spellEnd"/>
      <w:r w:rsidR="009E5986" w:rsidRPr="00343052">
        <w:rPr>
          <w:rFonts w:cstheme="majorBidi"/>
        </w:rPr>
        <w:t xml:space="preserve"> and </w:t>
      </w:r>
      <w:proofErr w:type="spellStart"/>
      <w:r w:rsidR="009E5986" w:rsidRPr="00343052">
        <w:rPr>
          <w:rFonts w:cstheme="majorBidi"/>
        </w:rPr>
        <w:t>Lattakia</w:t>
      </w:r>
      <w:proofErr w:type="spellEnd"/>
      <w:r w:rsidR="009E5986" w:rsidRPr="00343052">
        <w:rPr>
          <w:rFonts w:cstheme="majorBidi"/>
        </w:rPr>
        <w:t>.</w:t>
      </w:r>
      <w:r w:rsidR="009E5986" w:rsidRPr="00343052">
        <w:rPr>
          <w:rStyle w:val="FootnoteReference"/>
          <w:rFonts w:cstheme="majorBidi"/>
        </w:rPr>
        <w:footnoteReference w:id="31"/>
      </w:r>
      <w:r w:rsidR="009E5986" w:rsidRPr="00343052">
        <w:rPr>
          <w:rFonts w:cstheme="majorBidi"/>
        </w:rPr>
        <w:t xml:space="preserve"> </w:t>
      </w:r>
      <w:r w:rsidR="0018659C" w:rsidRPr="00343052">
        <w:rPr>
          <w:rFonts w:cstheme="majorBidi"/>
        </w:rPr>
        <w:t>C</w:t>
      </w:r>
      <w:r w:rsidRPr="00343052">
        <w:rPr>
          <w:rFonts w:cstheme="majorBidi"/>
        </w:rPr>
        <w:t xml:space="preserve">hildren </w:t>
      </w:r>
      <w:r w:rsidR="0018659C" w:rsidRPr="00343052">
        <w:rPr>
          <w:rFonts w:cstheme="majorBidi"/>
        </w:rPr>
        <w:t xml:space="preserve">are at heightened risk from explosive detonations as they tend to pick up and play with unfamiliar or interesting looking objects. Harvesting scrap metal will later </w:t>
      </w:r>
      <w:r w:rsidR="007D02E2" w:rsidRPr="00343052">
        <w:rPr>
          <w:rFonts w:cstheme="majorBidi"/>
        </w:rPr>
        <w:t>constitute another type of risk</w:t>
      </w:r>
      <w:r w:rsidR="0018659C" w:rsidRPr="00343052">
        <w:rPr>
          <w:rStyle w:val="FootnoteReference"/>
          <w:rFonts w:cstheme="majorBidi"/>
        </w:rPr>
        <w:footnoteReference w:id="32"/>
      </w:r>
      <w:r w:rsidR="002524BB">
        <w:rPr>
          <w:rFonts w:cstheme="majorBidi"/>
        </w:rPr>
        <w:t xml:space="preserve">, for example, in March 2013 two boys aged 9 and 13 years lost their hands and limbs when they picked up unexploded cluster </w:t>
      </w:r>
      <w:proofErr w:type="spellStart"/>
      <w:r w:rsidR="002524BB">
        <w:rPr>
          <w:rFonts w:cstheme="majorBidi"/>
        </w:rPr>
        <w:t>bomblets</w:t>
      </w:r>
      <w:proofErr w:type="spellEnd"/>
      <w:r w:rsidRPr="00343052">
        <w:rPr>
          <w:rFonts w:cstheme="majorBidi"/>
        </w:rPr>
        <w:t>.</w:t>
      </w:r>
      <w:r w:rsidR="002524BB">
        <w:rPr>
          <w:rStyle w:val="FootnoteReference"/>
          <w:rFonts w:cstheme="majorBidi"/>
        </w:rPr>
        <w:footnoteReference w:id="33"/>
      </w:r>
      <w:r w:rsidRPr="00343052">
        <w:rPr>
          <w:rFonts w:cstheme="majorBidi"/>
        </w:rPr>
        <w:t xml:space="preserve"> </w:t>
      </w:r>
      <w:r w:rsidR="00D87BC5" w:rsidRPr="00343052">
        <w:rPr>
          <w:rFonts w:cstheme="majorBidi"/>
        </w:rPr>
        <w:t xml:space="preserve">Displaced persons are particularly exposed to explosive remnants of war (ERW) while moving through contaminated areas without being informed of the risks. </w:t>
      </w:r>
      <w:r w:rsidRPr="00343052">
        <w:rPr>
          <w:rFonts w:cstheme="majorBidi"/>
        </w:rPr>
        <w:t>Given the heavy use of EWR, it is expected that mines will be increasing the risk of killing and maiming children, long after the end of the conflict.</w:t>
      </w:r>
      <w:r w:rsidR="004845B1" w:rsidRPr="00343052">
        <w:rPr>
          <w:rStyle w:val="FootnoteReference"/>
          <w:rFonts w:cstheme="majorBidi"/>
        </w:rPr>
        <w:t xml:space="preserve"> </w:t>
      </w:r>
      <w:r w:rsidR="004845B1" w:rsidRPr="00343052">
        <w:rPr>
          <w:rStyle w:val="FootnoteReference"/>
          <w:rFonts w:cstheme="majorBidi"/>
        </w:rPr>
        <w:footnoteReference w:id="34"/>
      </w:r>
    </w:p>
    <w:p w:rsidR="00A5097E" w:rsidRPr="00343052" w:rsidRDefault="00A5097E" w:rsidP="00D66F25">
      <w:pPr>
        <w:autoSpaceDE w:val="0"/>
        <w:autoSpaceDN w:val="0"/>
        <w:adjustRightInd w:val="0"/>
        <w:spacing w:after="0"/>
        <w:jc w:val="both"/>
        <w:rPr>
          <w:rFonts w:cstheme="majorBidi"/>
          <w:b/>
          <w:bCs/>
        </w:rPr>
      </w:pPr>
    </w:p>
    <w:p w:rsidR="00D87BC5" w:rsidRPr="00343052" w:rsidRDefault="00D87BC5" w:rsidP="00D66F25">
      <w:pPr>
        <w:spacing w:after="0"/>
        <w:contextualSpacing/>
        <w:jc w:val="both"/>
        <w:rPr>
          <w:rFonts w:cstheme="majorBidi"/>
        </w:rPr>
      </w:pPr>
      <w:r w:rsidRPr="00343052">
        <w:rPr>
          <w:rFonts w:cstheme="majorBidi"/>
        </w:rPr>
        <w:t xml:space="preserve">Palestine refugee camps and neighbourhoods have experienced some of the most intense armed engagements with casualties and deaths on a daily basis. This has forced tens of thousands of Palestine refugee families to flee their homes to live in safer areas of Syria. UNRWA estimates that almost half of the estimated 500,000 Palestine refugees have been displaced during the Syria conflict. </w:t>
      </w:r>
      <w:proofErr w:type="spellStart"/>
      <w:r w:rsidRPr="00343052">
        <w:rPr>
          <w:rFonts w:cstheme="majorBidi"/>
        </w:rPr>
        <w:t>Sheineh</w:t>
      </w:r>
      <w:proofErr w:type="spellEnd"/>
      <w:r w:rsidRPr="00343052">
        <w:rPr>
          <w:rFonts w:cstheme="majorBidi"/>
        </w:rPr>
        <w:t xml:space="preserve"> is now virtually deserted and those refugee that remains are typically the most poorest and most vulnerable, lacking the means to relocate.</w:t>
      </w:r>
      <w:r w:rsidRPr="00343052">
        <w:rPr>
          <w:rStyle w:val="FootnoteReference"/>
          <w:rFonts w:cstheme="majorBidi"/>
        </w:rPr>
        <w:footnoteReference w:id="35"/>
      </w:r>
      <w:r w:rsidRPr="00343052">
        <w:rPr>
          <w:rFonts w:cstheme="majorBidi"/>
        </w:rPr>
        <w:t xml:space="preserve"> </w:t>
      </w:r>
    </w:p>
    <w:p w:rsidR="00D87BC5" w:rsidRPr="00343052" w:rsidRDefault="00D87BC5" w:rsidP="00D66F25">
      <w:pPr>
        <w:autoSpaceDE w:val="0"/>
        <w:autoSpaceDN w:val="0"/>
        <w:adjustRightInd w:val="0"/>
        <w:spacing w:after="0"/>
        <w:jc w:val="both"/>
        <w:rPr>
          <w:rFonts w:cstheme="majorBidi"/>
        </w:rPr>
      </w:pPr>
    </w:p>
    <w:p w:rsidR="00896143" w:rsidRPr="00343052" w:rsidRDefault="00896143" w:rsidP="00D66F25">
      <w:pPr>
        <w:autoSpaceDE w:val="0"/>
        <w:autoSpaceDN w:val="0"/>
        <w:adjustRightInd w:val="0"/>
        <w:spacing w:after="0"/>
        <w:jc w:val="both"/>
        <w:rPr>
          <w:rFonts w:cstheme="majorBidi"/>
        </w:rPr>
      </w:pPr>
      <w:r w:rsidRPr="00343052">
        <w:rPr>
          <w:rFonts w:cstheme="majorBidi"/>
        </w:rPr>
        <w:lastRenderedPageBreak/>
        <w:t>Damascus hospital reports that it is receiving an average of 70-100 people per day</w:t>
      </w:r>
      <w:r w:rsidRPr="00343052">
        <w:rPr>
          <w:rFonts w:cstheme="majorBidi"/>
          <w:color w:val="92D050"/>
        </w:rPr>
        <w:t xml:space="preserve"> </w:t>
      </w:r>
      <w:r w:rsidRPr="00343052">
        <w:rPr>
          <w:rFonts w:cstheme="majorBidi"/>
        </w:rPr>
        <w:t>as result of burns, gunshot wounds, injuries from explosion - an increasing number of women and children are among them.</w:t>
      </w:r>
      <w:r w:rsidRPr="00343052">
        <w:rPr>
          <w:rStyle w:val="FootnoteReference"/>
          <w:rFonts w:cstheme="majorBidi"/>
        </w:rPr>
        <w:footnoteReference w:id="36"/>
      </w:r>
      <w:r w:rsidRPr="00343052">
        <w:rPr>
          <w:rFonts w:cstheme="majorBidi"/>
        </w:rPr>
        <w:t xml:space="preserve"> </w:t>
      </w:r>
    </w:p>
    <w:p w:rsidR="009D2ECA" w:rsidRPr="00343052" w:rsidRDefault="009D2ECA" w:rsidP="00D66F25">
      <w:pPr>
        <w:tabs>
          <w:tab w:val="left" w:pos="0"/>
        </w:tabs>
        <w:spacing w:after="0"/>
        <w:contextualSpacing/>
        <w:jc w:val="both"/>
        <w:rPr>
          <w:rFonts w:cstheme="majorBidi"/>
        </w:rPr>
      </w:pPr>
    </w:p>
    <w:p w:rsidR="009D2ECA" w:rsidRPr="00343052" w:rsidRDefault="00880E87" w:rsidP="00A12D55">
      <w:pPr>
        <w:pStyle w:val="Default"/>
        <w:spacing w:line="276" w:lineRule="auto"/>
        <w:jc w:val="both"/>
        <w:rPr>
          <w:rFonts w:asciiTheme="minorHAnsi" w:hAnsiTheme="minorHAnsi" w:cstheme="majorBidi"/>
          <w:sz w:val="22"/>
          <w:szCs w:val="22"/>
        </w:rPr>
      </w:pPr>
      <w:r w:rsidRPr="00343052">
        <w:rPr>
          <w:rFonts w:asciiTheme="minorHAnsi" w:hAnsiTheme="minorHAnsi" w:cstheme="majorBidi"/>
          <w:b/>
          <w:sz w:val="22"/>
          <w:szCs w:val="22"/>
        </w:rPr>
        <w:t>Massacres, t</w:t>
      </w:r>
      <w:r w:rsidR="009D2ECA" w:rsidRPr="00343052">
        <w:rPr>
          <w:rFonts w:asciiTheme="minorHAnsi" w:hAnsiTheme="minorHAnsi" w:cstheme="majorBidi"/>
          <w:b/>
          <w:sz w:val="22"/>
          <w:szCs w:val="22"/>
        </w:rPr>
        <w:t>argeted killings and summary executions:</w:t>
      </w:r>
      <w:r w:rsidR="009D2ECA" w:rsidRPr="00343052">
        <w:rPr>
          <w:rFonts w:asciiTheme="minorHAnsi" w:hAnsiTheme="minorHAnsi" w:cstheme="majorBidi"/>
          <w:sz w:val="22"/>
          <w:szCs w:val="22"/>
        </w:rPr>
        <w:t xml:space="preserve"> </w:t>
      </w:r>
      <w:r w:rsidRPr="00343052">
        <w:rPr>
          <w:rFonts w:asciiTheme="minorHAnsi" w:hAnsiTheme="minorHAnsi" w:cstheme="majorBidi"/>
          <w:sz w:val="22"/>
          <w:szCs w:val="22"/>
        </w:rPr>
        <w:t xml:space="preserve"> </w:t>
      </w:r>
      <w:r w:rsidR="009D2ECA" w:rsidRPr="00343052">
        <w:rPr>
          <w:rFonts w:asciiTheme="minorHAnsi" w:hAnsiTheme="minorHAnsi" w:cstheme="majorBidi"/>
          <w:bCs/>
          <w:color w:val="auto"/>
          <w:sz w:val="22"/>
          <w:szCs w:val="22"/>
        </w:rPr>
        <w:t>Children were amongst the reporte</w:t>
      </w:r>
      <w:r w:rsidRPr="00343052">
        <w:rPr>
          <w:rFonts w:asciiTheme="minorHAnsi" w:hAnsiTheme="minorHAnsi" w:cstheme="majorBidi"/>
          <w:bCs/>
          <w:color w:val="auto"/>
          <w:sz w:val="22"/>
          <w:szCs w:val="22"/>
        </w:rPr>
        <w:t>d victims</w:t>
      </w:r>
      <w:r w:rsidR="00C575E8" w:rsidRPr="00343052">
        <w:rPr>
          <w:rFonts w:asciiTheme="minorHAnsi" w:hAnsiTheme="minorHAnsi" w:cstheme="majorBidi"/>
          <w:bCs/>
          <w:color w:val="auto"/>
          <w:sz w:val="22"/>
          <w:szCs w:val="22"/>
        </w:rPr>
        <w:t xml:space="preserve"> of massacres in </w:t>
      </w:r>
      <w:proofErr w:type="spellStart"/>
      <w:r w:rsidR="00C575E8" w:rsidRPr="00343052">
        <w:rPr>
          <w:rFonts w:asciiTheme="minorHAnsi" w:hAnsiTheme="minorHAnsi" w:cstheme="majorBidi"/>
          <w:bCs/>
          <w:color w:val="auto"/>
          <w:sz w:val="22"/>
          <w:szCs w:val="22"/>
        </w:rPr>
        <w:t>Dar</w:t>
      </w:r>
      <w:r w:rsidRPr="00343052">
        <w:rPr>
          <w:rFonts w:asciiTheme="minorHAnsi" w:hAnsiTheme="minorHAnsi" w:cstheme="majorBidi"/>
          <w:bCs/>
          <w:color w:val="auto"/>
          <w:sz w:val="22"/>
          <w:szCs w:val="22"/>
        </w:rPr>
        <w:t>’a</w:t>
      </w:r>
      <w:proofErr w:type="spellEnd"/>
      <w:r w:rsidRPr="00343052">
        <w:rPr>
          <w:rFonts w:asciiTheme="minorHAnsi" w:hAnsiTheme="minorHAnsi" w:cstheme="majorBidi"/>
          <w:bCs/>
          <w:color w:val="auto"/>
          <w:sz w:val="22"/>
          <w:szCs w:val="22"/>
        </w:rPr>
        <w:t xml:space="preserve">, Homs and </w:t>
      </w:r>
      <w:proofErr w:type="spellStart"/>
      <w:r w:rsidRPr="00343052">
        <w:rPr>
          <w:rFonts w:asciiTheme="minorHAnsi" w:hAnsiTheme="minorHAnsi" w:cstheme="majorBidi"/>
          <w:bCs/>
          <w:color w:val="auto"/>
          <w:sz w:val="22"/>
          <w:szCs w:val="22"/>
        </w:rPr>
        <w:t>Tortous</w:t>
      </w:r>
      <w:proofErr w:type="spellEnd"/>
      <w:r w:rsidRPr="00343052">
        <w:rPr>
          <w:rFonts w:asciiTheme="minorHAnsi" w:hAnsiTheme="minorHAnsi" w:cstheme="majorBidi"/>
          <w:bCs/>
          <w:color w:val="auto"/>
          <w:sz w:val="22"/>
          <w:szCs w:val="22"/>
        </w:rPr>
        <w:t xml:space="preserve"> governorates</w:t>
      </w:r>
      <w:r w:rsidR="009D2ECA" w:rsidRPr="00343052">
        <w:rPr>
          <w:rFonts w:asciiTheme="minorHAnsi" w:hAnsiTheme="minorHAnsi" w:cstheme="majorBidi"/>
          <w:bCs/>
          <w:color w:val="auto"/>
          <w:sz w:val="22"/>
          <w:szCs w:val="22"/>
        </w:rPr>
        <w:t>.</w:t>
      </w:r>
      <w:r w:rsidRPr="00343052">
        <w:rPr>
          <w:rStyle w:val="FootnoteReference"/>
          <w:rFonts w:asciiTheme="minorHAnsi" w:hAnsiTheme="minorHAnsi" w:cstheme="majorBidi"/>
          <w:bCs/>
          <w:color w:val="auto"/>
          <w:sz w:val="22"/>
          <w:szCs w:val="22"/>
        </w:rPr>
        <w:footnoteReference w:id="37"/>
      </w:r>
      <w:r w:rsidR="009D2ECA" w:rsidRPr="00343052">
        <w:rPr>
          <w:rFonts w:asciiTheme="minorHAnsi" w:hAnsiTheme="minorHAnsi" w:cstheme="majorBidi"/>
          <w:bCs/>
          <w:color w:val="1F497D" w:themeColor="text2"/>
          <w:sz w:val="22"/>
          <w:szCs w:val="22"/>
        </w:rPr>
        <w:t xml:space="preserve"> </w:t>
      </w:r>
      <w:r w:rsidR="00231330" w:rsidRPr="00343052">
        <w:rPr>
          <w:rFonts w:asciiTheme="minorHAnsi" w:hAnsiTheme="minorHAnsi" w:cstheme="majorBidi"/>
          <w:bCs/>
          <w:sz w:val="22"/>
          <w:szCs w:val="22"/>
        </w:rPr>
        <w:t>E</w:t>
      </w:r>
      <w:r w:rsidR="009D2ECA" w:rsidRPr="00343052">
        <w:rPr>
          <w:rFonts w:asciiTheme="minorHAnsi" w:hAnsiTheme="minorHAnsi" w:cstheme="majorBidi"/>
          <w:bCs/>
          <w:sz w:val="22"/>
          <w:szCs w:val="22"/>
        </w:rPr>
        <w:t>xecutions have frequently accompanied government military operations, and opposition groups have also carried out executions</w:t>
      </w:r>
      <w:r w:rsidR="009D2ECA" w:rsidRPr="00343052">
        <w:rPr>
          <w:rStyle w:val="FootnoteReference"/>
          <w:rFonts w:asciiTheme="minorHAnsi" w:hAnsiTheme="minorHAnsi" w:cstheme="majorBidi"/>
          <w:bCs/>
          <w:sz w:val="22"/>
          <w:szCs w:val="22"/>
        </w:rPr>
        <w:footnoteReference w:id="38"/>
      </w:r>
      <w:r w:rsidR="009D2ECA" w:rsidRPr="00343052">
        <w:rPr>
          <w:rFonts w:asciiTheme="minorHAnsi" w:hAnsiTheme="minorHAnsi" w:cstheme="majorBidi"/>
          <w:bCs/>
          <w:sz w:val="22"/>
          <w:szCs w:val="22"/>
        </w:rPr>
        <w:t>. Detained persons believed to be opposition sympathizers are the most frequent victims of such crime.</w:t>
      </w:r>
      <w:r w:rsidR="009D2ECA" w:rsidRPr="00343052">
        <w:rPr>
          <w:rStyle w:val="FootnoteReference"/>
          <w:rFonts w:asciiTheme="minorHAnsi" w:hAnsiTheme="minorHAnsi" w:cstheme="majorBidi"/>
          <w:bCs/>
          <w:sz w:val="22"/>
          <w:szCs w:val="22"/>
        </w:rPr>
        <w:footnoteReference w:id="39"/>
      </w:r>
      <w:r w:rsidR="009D2ECA" w:rsidRPr="00343052">
        <w:rPr>
          <w:rFonts w:asciiTheme="minorHAnsi" w:hAnsiTheme="minorHAnsi" w:cstheme="majorBidi"/>
          <w:bCs/>
          <w:sz w:val="22"/>
          <w:szCs w:val="22"/>
        </w:rPr>
        <w:t xml:space="preserve">  In August 2012, after eight days of hostilities local r</w:t>
      </w:r>
      <w:r w:rsidR="00C575E8" w:rsidRPr="00343052">
        <w:rPr>
          <w:rFonts w:asciiTheme="minorHAnsi" w:hAnsiTheme="minorHAnsi" w:cstheme="majorBidi"/>
          <w:bCs/>
          <w:sz w:val="22"/>
          <w:szCs w:val="22"/>
        </w:rPr>
        <w:t xml:space="preserve">esidents returned to </w:t>
      </w:r>
      <w:proofErr w:type="spellStart"/>
      <w:r w:rsidR="00C575E8" w:rsidRPr="00343052">
        <w:rPr>
          <w:rFonts w:asciiTheme="minorHAnsi" w:hAnsiTheme="minorHAnsi" w:cstheme="majorBidi"/>
          <w:bCs/>
          <w:sz w:val="22"/>
          <w:szCs w:val="22"/>
        </w:rPr>
        <w:t>Harak</w:t>
      </w:r>
      <w:proofErr w:type="spellEnd"/>
      <w:r w:rsidR="00C575E8" w:rsidRPr="00343052">
        <w:rPr>
          <w:rFonts w:asciiTheme="minorHAnsi" w:hAnsiTheme="minorHAnsi" w:cstheme="majorBidi"/>
          <w:bCs/>
          <w:sz w:val="22"/>
          <w:szCs w:val="22"/>
        </w:rPr>
        <w:t xml:space="preserve"> (</w:t>
      </w:r>
      <w:proofErr w:type="spellStart"/>
      <w:r w:rsidR="00C575E8" w:rsidRPr="00343052">
        <w:rPr>
          <w:rFonts w:asciiTheme="minorHAnsi" w:hAnsiTheme="minorHAnsi" w:cstheme="majorBidi"/>
          <w:bCs/>
          <w:sz w:val="22"/>
          <w:szCs w:val="22"/>
        </w:rPr>
        <w:t>Dar</w:t>
      </w:r>
      <w:r w:rsidR="009D2ECA" w:rsidRPr="00343052">
        <w:rPr>
          <w:rFonts w:asciiTheme="minorHAnsi" w:hAnsiTheme="minorHAnsi" w:cstheme="majorBidi"/>
          <w:bCs/>
          <w:sz w:val="22"/>
          <w:szCs w:val="22"/>
        </w:rPr>
        <w:t>’a</w:t>
      </w:r>
      <w:proofErr w:type="spellEnd"/>
      <w:r w:rsidR="009D2ECA" w:rsidRPr="00343052">
        <w:rPr>
          <w:rFonts w:asciiTheme="minorHAnsi" w:hAnsiTheme="minorHAnsi" w:cstheme="majorBidi"/>
          <w:bCs/>
          <w:sz w:val="22"/>
          <w:szCs w:val="22"/>
        </w:rPr>
        <w:t xml:space="preserve"> governorate) to find bodies with close-range gunfire and severe knife wounds. Some bodies had been burned, and among the dead bodies were children. In January 2013, it was reported that forces conducted house-to-house searches and executed children</w:t>
      </w:r>
      <w:r w:rsidR="00196CD6" w:rsidRPr="00343052">
        <w:rPr>
          <w:rFonts w:asciiTheme="minorHAnsi" w:hAnsiTheme="minorHAnsi" w:cstheme="majorBidi"/>
          <w:bCs/>
          <w:sz w:val="22"/>
          <w:szCs w:val="22"/>
        </w:rPr>
        <w:t xml:space="preserve"> in Al-</w:t>
      </w:r>
      <w:proofErr w:type="spellStart"/>
      <w:r w:rsidR="00196CD6" w:rsidRPr="00343052">
        <w:rPr>
          <w:rFonts w:asciiTheme="minorHAnsi" w:hAnsiTheme="minorHAnsi" w:cstheme="majorBidi"/>
          <w:bCs/>
          <w:sz w:val="22"/>
          <w:szCs w:val="22"/>
        </w:rPr>
        <w:t>Mastomah</w:t>
      </w:r>
      <w:proofErr w:type="spellEnd"/>
      <w:r w:rsidR="007D02E2" w:rsidRPr="00343052">
        <w:rPr>
          <w:rFonts w:asciiTheme="minorHAnsi" w:hAnsiTheme="minorHAnsi" w:cstheme="majorBidi"/>
          <w:bCs/>
          <w:sz w:val="22"/>
          <w:szCs w:val="22"/>
        </w:rPr>
        <w:t xml:space="preserve"> (</w:t>
      </w:r>
      <w:proofErr w:type="spellStart"/>
      <w:r w:rsidR="007D02E2" w:rsidRPr="00343052">
        <w:rPr>
          <w:rFonts w:asciiTheme="minorHAnsi" w:hAnsiTheme="minorHAnsi" w:cstheme="majorBidi"/>
          <w:bCs/>
          <w:sz w:val="22"/>
          <w:szCs w:val="22"/>
        </w:rPr>
        <w:t>Idlib</w:t>
      </w:r>
      <w:proofErr w:type="spellEnd"/>
      <w:r w:rsidR="007D02E2" w:rsidRPr="00343052">
        <w:rPr>
          <w:rFonts w:asciiTheme="minorHAnsi" w:hAnsiTheme="minorHAnsi" w:cstheme="majorBidi"/>
          <w:bCs/>
          <w:sz w:val="22"/>
          <w:szCs w:val="22"/>
        </w:rPr>
        <w:t xml:space="preserve"> governorate)</w:t>
      </w:r>
      <w:r w:rsidR="009D2ECA" w:rsidRPr="00343052">
        <w:rPr>
          <w:rFonts w:asciiTheme="minorHAnsi" w:hAnsiTheme="minorHAnsi" w:cstheme="majorBidi"/>
          <w:bCs/>
          <w:sz w:val="22"/>
          <w:szCs w:val="22"/>
        </w:rPr>
        <w:t>.</w:t>
      </w:r>
      <w:r w:rsidR="00196CD6" w:rsidRPr="00343052">
        <w:rPr>
          <w:rStyle w:val="FootnoteReference"/>
          <w:rFonts w:asciiTheme="minorHAnsi" w:hAnsiTheme="minorHAnsi" w:cstheme="majorBidi"/>
          <w:bCs/>
          <w:sz w:val="22"/>
          <w:szCs w:val="22"/>
        </w:rPr>
        <w:t xml:space="preserve"> </w:t>
      </w:r>
      <w:r w:rsidR="00196CD6" w:rsidRPr="00343052">
        <w:rPr>
          <w:rStyle w:val="FootnoteReference"/>
          <w:rFonts w:asciiTheme="minorHAnsi" w:hAnsiTheme="minorHAnsi" w:cstheme="majorBidi"/>
          <w:bCs/>
          <w:sz w:val="22"/>
          <w:szCs w:val="22"/>
        </w:rPr>
        <w:footnoteReference w:id="40"/>
      </w:r>
      <w:r w:rsidR="009D2ECA" w:rsidRPr="00343052">
        <w:rPr>
          <w:rFonts w:asciiTheme="minorHAnsi" w:hAnsiTheme="minorHAnsi" w:cstheme="majorBidi"/>
          <w:bCs/>
          <w:sz w:val="22"/>
          <w:szCs w:val="22"/>
        </w:rPr>
        <w:t xml:space="preserve"> Between late January and mid-</w:t>
      </w:r>
      <w:r w:rsidR="0065476B">
        <w:rPr>
          <w:rFonts w:asciiTheme="minorHAnsi" w:hAnsiTheme="minorHAnsi" w:cstheme="majorBidi"/>
          <w:bCs/>
          <w:sz w:val="22"/>
          <w:szCs w:val="22"/>
        </w:rPr>
        <w:t>M</w:t>
      </w:r>
      <w:r w:rsidR="009D2ECA" w:rsidRPr="00343052">
        <w:rPr>
          <w:rFonts w:asciiTheme="minorHAnsi" w:hAnsiTheme="minorHAnsi" w:cstheme="majorBidi"/>
          <w:bCs/>
          <w:sz w:val="22"/>
          <w:szCs w:val="22"/>
        </w:rPr>
        <w:t xml:space="preserve">arch 2013, hundreds bodies turned up in the </w:t>
      </w:r>
      <w:proofErr w:type="spellStart"/>
      <w:r w:rsidR="009D2ECA" w:rsidRPr="00343052">
        <w:rPr>
          <w:rFonts w:asciiTheme="minorHAnsi" w:hAnsiTheme="minorHAnsi" w:cstheme="majorBidi"/>
          <w:bCs/>
          <w:sz w:val="22"/>
          <w:szCs w:val="22"/>
        </w:rPr>
        <w:t>Queiq</w:t>
      </w:r>
      <w:proofErr w:type="spellEnd"/>
      <w:r w:rsidR="009D2ECA" w:rsidRPr="00343052">
        <w:rPr>
          <w:rFonts w:asciiTheme="minorHAnsi" w:hAnsiTheme="minorHAnsi" w:cstheme="majorBidi"/>
          <w:bCs/>
          <w:sz w:val="22"/>
          <w:szCs w:val="22"/>
        </w:rPr>
        <w:t xml:space="preserve"> River in Aleppo, reportedly with hands tied behind their back and gunshots wounds to their head, including children as young as 11 years.</w:t>
      </w:r>
      <w:r w:rsidR="00196CD6" w:rsidRPr="00343052">
        <w:rPr>
          <w:rStyle w:val="FootnoteReference"/>
          <w:rFonts w:asciiTheme="minorHAnsi" w:hAnsiTheme="minorHAnsi" w:cstheme="majorBidi"/>
          <w:bCs/>
          <w:sz w:val="22"/>
          <w:szCs w:val="22"/>
        </w:rPr>
        <w:t xml:space="preserve"> </w:t>
      </w:r>
      <w:r w:rsidR="00196CD6" w:rsidRPr="00343052">
        <w:rPr>
          <w:rStyle w:val="FootnoteReference"/>
          <w:rFonts w:asciiTheme="minorHAnsi" w:hAnsiTheme="minorHAnsi" w:cstheme="majorBidi"/>
          <w:bCs/>
          <w:sz w:val="22"/>
          <w:szCs w:val="22"/>
        </w:rPr>
        <w:footnoteReference w:id="41"/>
      </w:r>
      <w:r w:rsidR="009D2ECA" w:rsidRPr="00343052">
        <w:rPr>
          <w:rFonts w:asciiTheme="minorHAnsi" w:hAnsiTheme="minorHAnsi" w:cstheme="majorBidi"/>
          <w:bCs/>
          <w:sz w:val="22"/>
          <w:szCs w:val="22"/>
        </w:rPr>
        <w:t xml:space="preserve"> </w:t>
      </w:r>
      <w:r w:rsidR="00196CD6" w:rsidRPr="00343052">
        <w:rPr>
          <w:rFonts w:asciiTheme="minorHAnsi" w:hAnsiTheme="minorHAnsi" w:cstheme="majorBidi"/>
          <w:bCs/>
          <w:sz w:val="22"/>
          <w:szCs w:val="22"/>
        </w:rPr>
        <w:t>T</w:t>
      </w:r>
      <w:r w:rsidR="009D2ECA" w:rsidRPr="00343052">
        <w:rPr>
          <w:rFonts w:asciiTheme="minorHAnsi" w:hAnsiTheme="minorHAnsi" w:cstheme="majorBidi"/>
          <w:bCs/>
          <w:sz w:val="22"/>
          <w:szCs w:val="22"/>
        </w:rPr>
        <w:t xml:space="preserve">wo young children </w:t>
      </w:r>
      <w:r w:rsidR="00196CD6" w:rsidRPr="00343052">
        <w:rPr>
          <w:rFonts w:asciiTheme="minorHAnsi" w:hAnsiTheme="minorHAnsi" w:cstheme="majorBidi"/>
          <w:bCs/>
          <w:sz w:val="22"/>
          <w:szCs w:val="22"/>
        </w:rPr>
        <w:t xml:space="preserve">were executed </w:t>
      </w:r>
      <w:r w:rsidR="009D2ECA" w:rsidRPr="00343052">
        <w:rPr>
          <w:rFonts w:asciiTheme="minorHAnsi" w:hAnsiTheme="minorHAnsi" w:cstheme="majorBidi"/>
          <w:bCs/>
          <w:sz w:val="22"/>
          <w:szCs w:val="22"/>
        </w:rPr>
        <w:t xml:space="preserve">in their home so they would not give away the location of soldiers to </w:t>
      </w:r>
      <w:r w:rsidR="00773D36" w:rsidRPr="00343052">
        <w:rPr>
          <w:rFonts w:asciiTheme="minorHAnsi" w:hAnsiTheme="minorHAnsi" w:cstheme="majorBidi"/>
          <w:bCs/>
          <w:sz w:val="22"/>
          <w:szCs w:val="22"/>
        </w:rPr>
        <w:t>an opposition group.</w:t>
      </w:r>
      <w:r w:rsidR="009D2ECA" w:rsidRPr="00343052">
        <w:rPr>
          <w:rFonts w:asciiTheme="minorHAnsi" w:hAnsiTheme="minorHAnsi" w:cstheme="majorBidi"/>
          <w:bCs/>
          <w:sz w:val="22"/>
          <w:szCs w:val="22"/>
        </w:rPr>
        <w:t xml:space="preserve"> </w:t>
      </w:r>
      <w:r w:rsidR="00773D36" w:rsidRPr="00343052">
        <w:rPr>
          <w:rFonts w:asciiTheme="minorHAnsi" w:hAnsiTheme="minorHAnsi" w:cstheme="majorBidi"/>
          <w:sz w:val="22"/>
          <w:szCs w:val="22"/>
        </w:rPr>
        <w:t>Children are vulnerable to the constant risk of being killed or maimed by sniper fire in residential areas</w:t>
      </w:r>
      <w:r w:rsidR="00773D36" w:rsidRPr="00343052">
        <w:rPr>
          <w:rStyle w:val="FootnoteReference"/>
          <w:rFonts w:asciiTheme="minorHAnsi" w:hAnsiTheme="minorHAnsi" w:cstheme="majorBidi"/>
          <w:sz w:val="22"/>
          <w:szCs w:val="22"/>
        </w:rPr>
        <w:footnoteReference w:id="42"/>
      </w:r>
      <w:r w:rsidR="00773D36" w:rsidRPr="00343052">
        <w:rPr>
          <w:rFonts w:asciiTheme="minorHAnsi" w:hAnsiTheme="minorHAnsi" w:cstheme="majorBidi"/>
          <w:sz w:val="22"/>
          <w:szCs w:val="22"/>
        </w:rPr>
        <w:t xml:space="preserve">, including in May 2012 in </w:t>
      </w:r>
      <w:proofErr w:type="spellStart"/>
      <w:r w:rsidR="00773D36" w:rsidRPr="00343052">
        <w:rPr>
          <w:rFonts w:asciiTheme="minorHAnsi" w:hAnsiTheme="minorHAnsi" w:cstheme="majorBidi"/>
          <w:sz w:val="22"/>
          <w:szCs w:val="22"/>
        </w:rPr>
        <w:t>Houla</w:t>
      </w:r>
      <w:proofErr w:type="spellEnd"/>
      <w:r w:rsidR="00773D36" w:rsidRPr="00343052">
        <w:rPr>
          <w:rFonts w:asciiTheme="minorHAnsi" w:hAnsiTheme="minorHAnsi" w:cstheme="majorBidi"/>
          <w:sz w:val="22"/>
          <w:szCs w:val="22"/>
        </w:rPr>
        <w:t xml:space="preserve"> (Homs governorate) where it was reported that 49 children were killed while running for shelter.</w:t>
      </w:r>
      <w:r w:rsidR="00773D36" w:rsidRPr="00343052">
        <w:rPr>
          <w:rStyle w:val="FootnoteReference"/>
          <w:rFonts w:asciiTheme="minorHAnsi" w:hAnsiTheme="minorHAnsi" w:cstheme="majorBidi"/>
          <w:sz w:val="22"/>
          <w:szCs w:val="22"/>
        </w:rPr>
        <w:footnoteReference w:id="43"/>
      </w:r>
    </w:p>
    <w:p w:rsidR="007C027E" w:rsidRPr="00343052" w:rsidRDefault="007C027E" w:rsidP="00D66F25">
      <w:pPr>
        <w:tabs>
          <w:tab w:val="left" w:pos="0"/>
          <w:tab w:val="left" w:pos="1072"/>
        </w:tabs>
        <w:jc w:val="both"/>
        <w:rPr>
          <w:rFonts w:cstheme="majorBidi"/>
          <w:b/>
          <w:bCs/>
        </w:rPr>
      </w:pPr>
    </w:p>
    <w:p w:rsidR="00F705D8" w:rsidRPr="00343052" w:rsidRDefault="007C088A" w:rsidP="00D66F25">
      <w:pPr>
        <w:jc w:val="both"/>
        <w:rPr>
          <w:rFonts w:cstheme="majorBidi"/>
        </w:rPr>
      </w:pPr>
      <w:r w:rsidRPr="00343052">
        <w:rPr>
          <w:rFonts w:cstheme="majorBidi"/>
          <w:b/>
          <w:bCs/>
        </w:rPr>
        <w:t>Arrests, d</w:t>
      </w:r>
      <w:r w:rsidR="00896143" w:rsidRPr="00343052">
        <w:rPr>
          <w:rFonts w:cstheme="majorBidi"/>
          <w:b/>
          <w:bCs/>
        </w:rPr>
        <w:t xml:space="preserve">etention and torture: </w:t>
      </w:r>
      <w:r w:rsidR="001F7522" w:rsidRPr="00343052">
        <w:rPr>
          <w:rFonts w:cstheme="majorBidi"/>
        </w:rPr>
        <w:t>T</w:t>
      </w:r>
      <w:r w:rsidRPr="00343052">
        <w:rPr>
          <w:rFonts w:cstheme="majorBidi"/>
        </w:rPr>
        <w:t xml:space="preserve">he Commission </w:t>
      </w:r>
      <w:r w:rsidR="00A12D55">
        <w:rPr>
          <w:rFonts w:cstheme="majorBidi"/>
        </w:rPr>
        <w:t xml:space="preserve">of Inquiry </w:t>
      </w:r>
      <w:r w:rsidRPr="00343052">
        <w:rPr>
          <w:rFonts w:cstheme="majorBidi"/>
        </w:rPr>
        <w:t>reported widespread and arbitrar</w:t>
      </w:r>
      <w:r w:rsidR="00D378E8" w:rsidRPr="00343052">
        <w:rPr>
          <w:rFonts w:cstheme="majorBidi"/>
        </w:rPr>
        <w:t xml:space="preserve">y mass arrests of civilians </w:t>
      </w:r>
      <w:r w:rsidRPr="00343052">
        <w:rPr>
          <w:rFonts w:cstheme="majorBidi"/>
        </w:rPr>
        <w:t xml:space="preserve">perceived </w:t>
      </w:r>
      <w:r w:rsidR="00D378E8" w:rsidRPr="00343052">
        <w:rPr>
          <w:rFonts w:cstheme="majorBidi"/>
        </w:rPr>
        <w:t>to be loyal to armed opposition groups.</w:t>
      </w:r>
      <w:r w:rsidR="00F705D8" w:rsidRPr="00343052">
        <w:rPr>
          <w:rStyle w:val="FootnoteReference"/>
          <w:rFonts w:cstheme="majorBidi"/>
        </w:rPr>
        <w:footnoteReference w:id="44"/>
      </w:r>
      <w:r w:rsidR="00D378E8" w:rsidRPr="00343052">
        <w:rPr>
          <w:rFonts w:cstheme="majorBidi"/>
        </w:rPr>
        <w:t xml:space="preserve"> </w:t>
      </w:r>
      <w:r w:rsidR="00F705D8" w:rsidRPr="00343052">
        <w:rPr>
          <w:rFonts w:cstheme="majorBidi"/>
        </w:rPr>
        <w:t>Over 500 children were reported to be arrested in Hama in a recent assessment of northern Syria</w:t>
      </w:r>
      <w:r w:rsidR="00F705D8" w:rsidRPr="00343052">
        <w:rPr>
          <w:rStyle w:val="FootnoteReference"/>
          <w:rFonts w:cstheme="majorBidi"/>
        </w:rPr>
        <w:footnoteReference w:id="45"/>
      </w:r>
      <w:r w:rsidR="00F705D8" w:rsidRPr="00343052">
        <w:rPr>
          <w:rFonts w:cstheme="majorBidi"/>
        </w:rPr>
        <w:t xml:space="preserve"> and i</w:t>
      </w:r>
      <w:r w:rsidR="00D378E8" w:rsidRPr="00343052">
        <w:rPr>
          <w:rFonts w:cstheme="majorBidi"/>
        </w:rPr>
        <w:t xml:space="preserve">n </w:t>
      </w:r>
      <w:r w:rsidRPr="00343052">
        <w:rPr>
          <w:rFonts w:cstheme="majorBidi"/>
        </w:rPr>
        <w:t xml:space="preserve">January 2013 </w:t>
      </w:r>
      <w:r w:rsidR="001F7522" w:rsidRPr="00343052">
        <w:rPr>
          <w:rFonts w:cstheme="majorBidi"/>
        </w:rPr>
        <w:t xml:space="preserve">children </w:t>
      </w:r>
      <w:r w:rsidRPr="00343052">
        <w:rPr>
          <w:rFonts w:cstheme="majorBidi"/>
        </w:rPr>
        <w:t>were detained for a prolonged period and released without change and without being informed of the reason for their arrest</w:t>
      </w:r>
      <w:r w:rsidR="00F705D8" w:rsidRPr="00343052">
        <w:rPr>
          <w:rFonts w:cstheme="majorBidi"/>
        </w:rPr>
        <w:t xml:space="preserve"> in </w:t>
      </w:r>
      <w:proofErr w:type="spellStart"/>
      <w:r w:rsidR="00F705D8" w:rsidRPr="00343052">
        <w:rPr>
          <w:rFonts w:cstheme="majorBidi"/>
        </w:rPr>
        <w:t>Lat</w:t>
      </w:r>
      <w:r w:rsidR="00C575E8" w:rsidRPr="00343052">
        <w:rPr>
          <w:rFonts w:cstheme="majorBidi"/>
        </w:rPr>
        <w:t>t</w:t>
      </w:r>
      <w:r w:rsidR="00F705D8" w:rsidRPr="00343052">
        <w:rPr>
          <w:rFonts w:cstheme="majorBidi"/>
        </w:rPr>
        <w:t>akia</w:t>
      </w:r>
      <w:proofErr w:type="spellEnd"/>
      <w:r w:rsidR="00F705D8" w:rsidRPr="00343052">
        <w:rPr>
          <w:rFonts w:cstheme="majorBidi"/>
        </w:rPr>
        <w:t xml:space="preserve"> city</w:t>
      </w:r>
      <w:r w:rsidR="00D60969" w:rsidRPr="00343052">
        <w:rPr>
          <w:rFonts w:cstheme="majorBidi"/>
        </w:rPr>
        <w:t xml:space="preserve">. </w:t>
      </w:r>
    </w:p>
    <w:p w:rsidR="001F7522" w:rsidRPr="00343052" w:rsidRDefault="00C97A42" w:rsidP="00D66F25">
      <w:pPr>
        <w:jc w:val="both"/>
        <w:rPr>
          <w:rFonts w:cstheme="majorBidi"/>
        </w:rPr>
      </w:pPr>
      <w:r>
        <w:rPr>
          <w:rFonts w:cstheme="majorBidi"/>
        </w:rPr>
        <w:t>F</w:t>
      </w:r>
      <w:r w:rsidR="00D60969" w:rsidRPr="00343052">
        <w:rPr>
          <w:rFonts w:cstheme="majorBidi"/>
        </w:rPr>
        <w:t xml:space="preserve">orces routinely arrest and detain persons as punishment for </w:t>
      </w:r>
      <w:r w:rsidR="00D378E8" w:rsidRPr="00343052">
        <w:rPr>
          <w:rFonts w:cstheme="majorBidi"/>
        </w:rPr>
        <w:t>their actual or perceived participation in demonstrations. In January 2013, children as young as 12 were among those arrested following a pe</w:t>
      </w:r>
      <w:r w:rsidR="00C575E8" w:rsidRPr="00343052">
        <w:rPr>
          <w:rFonts w:cstheme="majorBidi"/>
        </w:rPr>
        <w:t>aceful demonstration in As-</w:t>
      </w:r>
      <w:proofErr w:type="spellStart"/>
      <w:r w:rsidR="00C575E8" w:rsidRPr="00343052">
        <w:rPr>
          <w:rFonts w:cstheme="majorBidi"/>
        </w:rPr>
        <w:t>Suwei</w:t>
      </w:r>
      <w:r w:rsidR="00D378E8" w:rsidRPr="00343052">
        <w:rPr>
          <w:rFonts w:cstheme="majorBidi"/>
        </w:rPr>
        <w:t>da</w:t>
      </w:r>
      <w:proofErr w:type="spellEnd"/>
      <w:r w:rsidR="00D378E8" w:rsidRPr="00343052">
        <w:rPr>
          <w:rFonts w:cstheme="majorBidi"/>
        </w:rPr>
        <w:t>.</w:t>
      </w:r>
      <w:r w:rsidR="00D378E8" w:rsidRPr="00343052">
        <w:rPr>
          <w:rStyle w:val="FootnoteReference"/>
          <w:rFonts w:cstheme="majorBidi"/>
        </w:rPr>
        <w:footnoteReference w:id="46"/>
      </w:r>
      <w:r w:rsidR="00D378E8" w:rsidRPr="00343052">
        <w:rPr>
          <w:rFonts w:cstheme="majorBidi"/>
        </w:rPr>
        <w:t xml:space="preserve">  Another report outlined the experience of a boy who witnessed a random “arrest” of 50 children from his village following demonstration -</w:t>
      </w:r>
      <w:r w:rsidR="00D378E8" w:rsidRPr="00343052">
        <w:rPr>
          <w:rFonts w:cstheme="majorBidi"/>
          <w:i/>
        </w:rPr>
        <w:t xml:space="preserve"> </w:t>
      </w:r>
      <w:r w:rsidR="00D378E8" w:rsidRPr="00343052">
        <w:rPr>
          <w:rFonts w:cstheme="majorBidi"/>
        </w:rPr>
        <w:t>“</w:t>
      </w:r>
      <w:r w:rsidR="00D378E8" w:rsidRPr="00343052">
        <w:rPr>
          <w:rFonts w:cstheme="majorBidi"/>
          <w:i/>
        </w:rPr>
        <w:t>As a punishment, armed men went to the school. They selected 50 children at random in the classrooms, from grades 1 to 7. They took them out of the school and tore out their fingernails. Many of these children were six years old, just six – They kept the children.”</w:t>
      </w:r>
      <w:r w:rsidR="00D378E8" w:rsidRPr="00343052">
        <w:rPr>
          <w:rStyle w:val="FootnoteReference"/>
          <w:rFonts w:cstheme="majorBidi"/>
          <w:i/>
        </w:rPr>
        <w:footnoteReference w:id="47"/>
      </w:r>
    </w:p>
    <w:p w:rsidR="00D378E8" w:rsidRPr="00343052" w:rsidRDefault="00896143" w:rsidP="00D66F25">
      <w:pPr>
        <w:tabs>
          <w:tab w:val="left" w:pos="0"/>
          <w:tab w:val="left" w:pos="1072"/>
        </w:tabs>
        <w:jc w:val="both"/>
        <w:rPr>
          <w:rFonts w:cstheme="majorBidi"/>
        </w:rPr>
      </w:pPr>
      <w:r w:rsidRPr="00343052">
        <w:rPr>
          <w:rFonts w:cstheme="majorBidi"/>
        </w:rPr>
        <w:lastRenderedPageBreak/>
        <w:t>Arbitrary detention in informal and formal facilities, including schools</w:t>
      </w:r>
      <w:r w:rsidR="003B218F" w:rsidRPr="00343052">
        <w:rPr>
          <w:rStyle w:val="FootnoteReference"/>
          <w:rFonts w:cstheme="majorBidi"/>
        </w:rPr>
        <w:footnoteReference w:id="48"/>
      </w:r>
      <w:r w:rsidRPr="00343052">
        <w:rPr>
          <w:rFonts w:cstheme="majorBidi"/>
        </w:rPr>
        <w:t xml:space="preserve">, </w:t>
      </w:r>
      <w:r w:rsidRPr="00343052">
        <w:rPr>
          <w:rFonts w:cstheme="majorBidi"/>
          <w:color w:val="1F497D" w:themeColor="text2"/>
        </w:rPr>
        <w:t>hospitals, private homes and checkpoints</w:t>
      </w:r>
      <w:r w:rsidRPr="00343052">
        <w:rPr>
          <w:rFonts w:cstheme="majorBidi"/>
        </w:rPr>
        <w:t>, as well as the systematic use of torture against children has been reported since</w:t>
      </w:r>
      <w:r w:rsidR="00D378E8" w:rsidRPr="00343052">
        <w:rPr>
          <w:rFonts w:cstheme="majorBidi"/>
        </w:rPr>
        <w:t xml:space="preserve"> the beginning of the conflict. </w:t>
      </w:r>
      <w:r w:rsidRPr="00343052">
        <w:rPr>
          <w:rFonts w:cstheme="majorBidi"/>
        </w:rPr>
        <w:t>Adult detainees have asserted that children have been held in the same detention cells as adults</w:t>
      </w:r>
      <w:r w:rsidR="007B7739" w:rsidRPr="00343052">
        <w:rPr>
          <w:rFonts w:cstheme="majorBidi"/>
        </w:rPr>
        <w:t>. L</w:t>
      </w:r>
      <w:r w:rsidRPr="00343052">
        <w:rPr>
          <w:rFonts w:cstheme="majorBidi"/>
        </w:rPr>
        <w:t xml:space="preserve">ocal activists </w:t>
      </w:r>
      <w:r w:rsidR="00D378E8" w:rsidRPr="00343052">
        <w:rPr>
          <w:rFonts w:cstheme="majorBidi"/>
        </w:rPr>
        <w:t>had</w:t>
      </w:r>
      <w:r w:rsidRPr="00343052">
        <w:rPr>
          <w:rFonts w:cstheme="majorBidi"/>
        </w:rPr>
        <w:t xml:space="preserve"> recorded the detention of 635 children</w:t>
      </w:r>
      <w:r w:rsidR="007B7739" w:rsidRPr="00343052">
        <w:rPr>
          <w:rFonts w:cstheme="majorBidi"/>
        </w:rPr>
        <w:t xml:space="preserve"> up until June 2012</w:t>
      </w:r>
      <w:r w:rsidR="008F58E4" w:rsidRPr="00343052">
        <w:rPr>
          <w:rFonts w:cstheme="majorBidi"/>
        </w:rPr>
        <w:t>,</w:t>
      </w:r>
      <w:r w:rsidRPr="00343052">
        <w:rPr>
          <w:rStyle w:val="FootnoteReference"/>
          <w:rFonts w:cstheme="majorBidi"/>
        </w:rPr>
        <w:footnoteReference w:id="49"/>
      </w:r>
      <w:r w:rsidRPr="00343052">
        <w:rPr>
          <w:rFonts w:cstheme="majorBidi"/>
        </w:rPr>
        <w:t xml:space="preserve"> </w:t>
      </w:r>
      <w:r w:rsidR="008F58E4" w:rsidRPr="00343052">
        <w:rPr>
          <w:rFonts w:cstheme="majorBidi"/>
        </w:rPr>
        <w:t>some as young as 8 years old</w:t>
      </w:r>
      <w:r w:rsidR="008F58E4" w:rsidRPr="00343052">
        <w:rPr>
          <w:rStyle w:val="FootnoteReference"/>
          <w:rFonts w:cstheme="majorBidi"/>
        </w:rPr>
        <w:footnoteReference w:id="50"/>
      </w:r>
      <w:r w:rsidR="008F58E4" w:rsidRPr="00343052">
        <w:rPr>
          <w:rFonts w:cstheme="majorBidi"/>
        </w:rPr>
        <w:t xml:space="preserve">. </w:t>
      </w:r>
    </w:p>
    <w:p w:rsidR="007C027E" w:rsidRPr="00343052" w:rsidRDefault="007F193B" w:rsidP="00C97A42">
      <w:pPr>
        <w:tabs>
          <w:tab w:val="left" w:pos="0"/>
          <w:tab w:val="left" w:pos="1072"/>
        </w:tabs>
        <w:jc w:val="both"/>
        <w:rPr>
          <w:rFonts w:cstheme="majorBidi"/>
        </w:rPr>
      </w:pPr>
      <w:r w:rsidRPr="00343052">
        <w:rPr>
          <w:rFonts w:cstheme="majorBidi"/>
        </w:rPr>
        <w:t>Torture is endemic across detention centres and prisons.</w:t>
      </w:r>
      <w:r w:rsidRPr="00343052">
        <w:rPr>
          <w:rStyle w:val="FootnoteReference"/>
          <w:rFonts w:cstheme="majorBidi"/>
        </w:rPr>
        <w:footnoteReference w:id="51"/>
      </w:r>
      <w:r w:rsidRPr="00343052">
        <w:rPr>
          <w:rFonts w:cstheme="majorBidi"/>
        </w:rPr>
        <w:t xml:space="preserve"> </w:t>
      </w:r>
      <w:r w:rsidR="00896143" w:rsidRPr="00343052">
        <w:rPr>
          <w:rFonts w:cstheme="majorBidi"/>
        </w:rPr>
        <w:t>At least 2000 people have reportedly died in detention cells in suspicious circumstances; many appeared to have been tortured, with many children among them.</w:t>
      </w:r>
      <w:r w:rsidR="00896143" w:rsidRPr="00343052">
        <w:rPr>
          <w:rStyle w:val="FootnoteReference"/>
          <w:rFonts w:cstheme="majorBidi"/>
        </w:rPr>
        <w:footnoteReference w:id="52"/>
      </w:r>
      <w:r w:rsidR="00896143" w:rsidRPr="00343052">
        <w:rPr>
          <w:rFonts w:cstheme="majorBidi"/>
        </w:rPr>
        <w:t xml:space="preserve"> In the first four months of the conflict, it is alleged that 10 boys had died in custody out of the reported 88 males.</w:t>
      </w:r>
      <w:r w:rsidR="00C832E2" w:rsidRPr="00343052">
        <w:rPr>
          <w:rStyle w:val="FootnoteReference"/>
          <w:rFonts w:cstheme="majorBidi"/>
        </w:rPr>
        <w:footnoteReference w:id="53"/>
      </w:r>
      <w:r w:rsidR="00896143" w:rsidRPr="00343052">
        <w:rPr>
          <w:rFonts w:cstheme="majorBidi"/>
          <w:b/>
          <w:bCs/>
        </w:rPr>
        <w:t xml:space="preserve"> </w:t>
      </w:r>
      <w:r w:rsidR="00896143" w:rsidRPr="00343052">
        <w:rPr>
          <w:rFonts w:cstheme="majorBidi"/>
        </w:rPr>
        <w:t xml:space="preserve">Children, some as young as </w:t>
      </w:r>
      <w:r w:rsidR="00551DC3">
        <w:rPr>
          <w:rFonts w:cstheme="majorBidi"/>
        </w:rPr>
        <w:t>14 years suffered similar or identical methods of torture as adults, including, electric shock, beatings, stress positions and threats and acts of sexual torture. There are a number of accounts of sexual violence against boys to obtain information or a confession by forces.</w:t>
      </w:r>
      <w:r w:rsidR="00551DC3">
        <w:rPr>
          <w:rStyle w:val="FootnoteReference"/>
          <w:rFonts w:cstheme="majorBidi"/>
        </w:rPr>
        <w:footnoteReference w:id="54"/>
      </w:r>
      <w:r w:rsidR="00551DC3">
        <w:rPr>
          <w:rFonts w:cstheme="majorBidi"/>
        </w:rPr>
        <w:t xml:space="preserve"> </w:t>
      </w:r>
    </w:p>
    <w:p w:rsidR="007C027E" w:rsidRPr="00343052" w:rsidRDefault="00896143">
      <w:pPr>
        <w:tabs>
          <w:tab w:val="left" w:pos="0"/>
          <w:tab w:val="left" w:pos="1072"/>
        </w:tabs>
        <w:jc w:val="both"/>
        <w:rPr>
          <w:rFonts w:cstheme="majorBidi"/>
        </w:rPr>
      </w:pPr>
      <w:r w:rsidRPr="00343052">
        <w:rPr>
          <w:rFonts w:cstheme="majorBidi"/>
        </w:rPr>
        <w:t>D</w:t>
      </w:r>
      <w:r w:rsidRPr="00343052">
        <w:rPr>
          <w:rFonts w:cstheme="majorBidi"/>
          <w:shd w:val="clear" w:color="auto" w:fill="FFFFFF"/>
        </w:rPr>
        <w:t xml:space="preserve">etention facilities where children reported being tortured include the military security detention centre and </w:t>
      </w:r>
      <w:proofErr w:type="spellStart"/>
      <w:r w:rsidRPr="00343052">
        <w:rPr>
          <w:rFonts w:cstheme="majorBidi"/>
          <w:shd w:val="clear" w:color="auto" w:fill="FFFFFF"/>
        </w:rPr>
        <w:t>Balooneh</w:t>
      </w:r>
      <w:proofErr w:type="spellEnd"/>
      <w:r w:rsidRPr="00343052">
        <w:rPr>
          <w:rFonts w:cstheme="majorBidi"/>
          <w:shd w:val="clear" w:color="auto" w:fill="FFFFFF"/>
        </w:rPr>
        <w:t xml:space="preserve"> detention centre </w:t>
      </w:r>
      <w:r w:rsidR="007B7739" w:rsidRPr="00343052">
        <w:rPr>
          <w:rFonts w:cstheme="majorBidi"/>
          <w:shd w:val="clear" w:color="auto" w:fill="FFFFFF"/>
        </w:rPr>
        <w:t xml:space="preserve">both </w:t>
      </w:r>
      <w:r w:rsidR="00390F4B" w:rsidRPr="00343052">
        <w:rPr>
          <w:rFonts w:cstheme="majorBidi"/>
          <w:shd w:val="clear" w:color="auto" w:fill="FFFFFF"/>
        </w:rPr>
        <w:t>in Homs;</w:t>
      </w:r>
      <w:r w:rsidRPr="00343052">
        <w:rPr>
          <w:rFonts w:cstheme="majorBidi"/>
          <w:shd w:val="clear" w:color="auto" w:fill="FFFFFF"/>
        </w:rPr>
        <w:t xml:space="preserve"> the military secur</w:t>
      </w:r>
      <w:r w:rsidR="00390F4B" w:rsidRPr="00343052">
        <w:rPr>
          <w:rFonts w:cstheme="majorBidi"/>
          <w:shd w:val="clear" w:color="auto" w:fill="FFFFFF"/>
        </w:rPr>
        <w:t xml:space="preserve">ity detention centre in </w:t>
      </w:r>
      <w:proofErr w:type="spellStart"/>
      <w:r w:rsidR="00390F4B" w:rsidRPr="00343052">
        <w:rPr>
          <w:rFonts w:cstheme="majorBidi"/>
          <w:shd w:val="clear" w:color="auto" w:fill="FFFFFF"/>
        </w:rPr>
        <w:t>Tartous</w:t>
      </w:r>
      <w:proofErr w:type="spellEnd"/>
      <w:r w:rsidR="00390F4B" w:rsidRPr="00343052">
        <w:rPr>
          <w:rFonts w:cstheme="majorBidi"/>
          <w:shd w:val="clear" w:color="auto" w:fill="FFFFFF"/>
        </w:rPr>
        <w:t>; and</w:t>
      </w:r>
      <w:r w:rsidRPr="00343052">
        <w:rPr>
          <w:rFonts w:cstheme="majorBidi"/>
          <w:shd w:val="clear" w:color="auto" w:fill="FFFFFF"/>
        </w:rPr>
        <w:t xml:space="preserve"> the Palestine detention centre </w:t>
      </w:r>
      <w:r w:rsidR="00390F4B" w:rsidRPr="00343052">
        <w:rPr>
          <w:rFonts w:cstheme="majorBidi"/>
          <w:shd w:val="clear" w:color="auto" w:fill="FFFFFF"/>
        </w:rPr>
        <w:t xml:space="preserve">and </w:t>
      </w:r>
      <w:r w:rsidRPr="00343052">
        <w:rPr>
          <w:rFonts w:cstheme="majorBidi"/>
          <w:shd w:val="clear" w:color="auto" w:fill="FFFFFF"/>
        </w:rPr>
        <w:t xml:space="preserve">the 291 detention </w:t>
      </w:r>
      <w:proofErr w:type="spellStart"/>
      <w:r w:rsidRPr="00343052">
        <w:rPr>
          <w:rFonts w:cstheme="majorBidi"/>
          <w:shd w:val="clear" w:color="auto" w:fill="FFFFFF"/>
        </w:rPr>
        <w:t>center</w:t>
      </w:r>
      <w:proofErr w:type="spellEnd"/>
      <w:r w:rsidRPr="00343052">
        <w:rPr>
          <w:rFonts w:cstheme="majorBidi"/>
          <w:shd w:val="clear" w:color="auto" w:fill="FFFFFF"/>
        </w:rPr>
        <w:t xml:space="preserve"> </w:t>
      </w:r>
      <w:r w:rsidR="00390F4B" w:rsidRPr="00343052">
        <w:rPr>
          <w:rFonts w:cstheme="majorBidi"/>
          <w:shd w:val="clear" w:color="auto" w:fill="FFFFFF"/>
        </w:rPr>
        <w:t xml:space="preserve">both </w:t>
      </w:r>
      <w:r w:rsidRPr="00343052">
        <w:rPr>
          <w:rFonts w:cstheme="majorBidi"/>
          <w:shd w:val="clear" w:color="auto" w:fill="FFFFFF"/>
        </w:rPr>
        <w:t>in Damascus</w:t>
      </w:r>
      <w:r w:rsidRPr="00343052">
        <w:rPr>
          <w:rFonts w:cstheme="majorBidi"/>
          <w:color w:val="42210B"/>
          <w:shd w:val="clear" w:color="auto" w:fill="FFFFFF"/>
        </w:rPr>
        <w:t>.</w:t>
      </w:r>
      <w:r w:rsidRPr="00343052">
        <w:rPr>
          <w:rStyle w:val="FootnoteReference"/>
          <w:rFonts w:cstheme="majorBidi"/>
        </w:rPr>
        <w:footnoteReference w:id="55"/>
      </w:r>
      <w:r w:rsidRPr="00343052">
        <w:rPr>
          <w:rFonts w:cstheme="majorBidi"/>
        </w:rPr>
        <w:t xml:space="preserve"> </w:t>
      </w:r>
      <w:r w:rsidR="00D378E8" w:rsidRPr="00343052">
        <w:rPr>
          <w:rFonts w:cstheme="majorBidi"/>
          <w:shd w:val="clear" w:color="auto" w:fill="FFFFFF"/>
        </w:rPr>
        <w:t>T</w:t>
      </w:r>
      <w:r w:rsidR="00EE7CCF" w:rsidRPr="00343052">
        <w:rPr>
          <w:rFonts w:cstheme="majorBidi"/>
          <w:shd w:val="clear" w:color="auto" w:fill="FFFFFF"/>
        </w:rPr>
        <w:t>he mistreatment of detainees was identifie</w:t>
      </w:r>
      <w:r w:rsidR="00AE7DA0" w:rsidRPr="00343052">
        <w:rPr>
          <w:rFonts w:cstheme="majorBidi"/>
          <w:shd w:val="clear" w:color="auto" w:fill="FFFFFF"/>
        </w:rPr>
        <w:t>d as a</w:t>
      </w:r>
      <w:r w:rsidR="00EE7CCF" w:rsidRPr="00343052">
        <w:rPr>
          <w:rFonts w:cstheme="majorBidi"/>
          <w:shd w:val="clear" w:color="auto" w:fill="FFFFFF"/>
        </w:rPr>
        <w:t xml:space="preserve"> protection concern in </w:t>
      </w:r>
      <w:r w:rsidR="00AE7DA0" w:rsidRPr="00343052">
        <w:rPr>
          <w:rFonts w:cstheme="majorBidi"/>
          <w:shd w:val="clear" w:color="auto" w:fill="FFFFFF"/>
        </w:rPr>
        <w:t xml:space="preserve">Aleppo, </w:t>
      </w:r>
      <w:proofErr w:type="spellStart"/>
      <w:r w:rsidR="00EE7CCF" w:rsidRPr="00343052">
        <w:rPr>
          <w:rFonts w:cstheme="majorBidi"/>
          <w:shd w:val="clear" w:color="auto" w:fill="FFFFFF"/>
        </w:rPr>
        <w:t>Deir-ez-Zor</w:t>
      </w:r>
      <w:proofErr w:type="spellEnd"/>
      <w:r w:rsidR="00AE7DA0" w:rsidRPr="00343052">
        <w:rPr>
          <w:rFonts w:cstheme="majorBidi"/>
          <w:shd w:val="clear" w:color="auto" w:fill="FFFFFF"/>
        </w:rPr>
        <w:t xml:space="preserve"> and Hama</w:t>
      </w:r>
      <w:r w:rsidR="00EE7CCF" w:rsidRPr="00343052">
        <w:rPr>
          <w:rFonts w:cstheme="majorBidi"/>
          <w:shd w:val="clear" w:color="auto" w:fill="FFFFFF"/>
        </w:rPr>
        <w:t xml:space="preserve"> governorate</w:t>
      </w:r>
      <w:r w:rsidR="00AE7DA0" w:rsidRPr="00343052">
        <w:rPr>
          <w:rFonts w:cstheme="majorBidi"/>
          <w:shd w:val="clear" w:color="auto" w:fill="FFFFFF"/>
        </w:rPr>
        <w:t>s</w:t>
      </w:r>
      <w:r w:rsidR="00EE7CCF" w:rsidRPr="00343052">
        <w:rPr>
          <w:rFonts w:cstheme="majorBidi"/>
          <w:shd w:val="clear" w:color="auto" w:fill="FFFFFF"/>
        </w:rPr>
        <w:t xml:space="preserve"> in an assessment of northern Syria. Some sub-districts in </w:t>
      </w:r>
      <w:proofErr w:type="spellStart"/>
      <w:r w:rsidR="00EE7CCF" w:rsidRPr="00343052">
        <w:rPr>
          <w:rFonts w:cstheme="majorBidi"/>
          <w:shd w:val="clear" w:color="auto" w:fill="FFFFFF"/>
        </w:rPr>
        <w:t>Deir-ez-Zor</w:t>
      </w:r>
      <w:proofErr w:type="spellEnd"/>
      <w:r w:rsidR="00EE7CCF" w:rsidRPr="00343052">
        <w:rPr>
          <w:rFonts w:cstheme="majorBidi"/>
          <w:shd w:val="clear" w:color="auto" w:fill="FFFFFF"/>
        </w:rPr>
        <w:t xml:space="preserve"> reported arbitrary and illegal detentions and detainees reportedly suffered injuries whilst in detention. The mistreatment of detainees was also reported to be a high priority concern in Hama</w:t>
      </w:r>
      <w:r w:rsidR="00AE7DA0" w:rsidRPr="00343052">
        <w:rPr>
          <w:rFonts w:cstheme="majorBidi"/>
          <w:shd w:val="clear" w:color="auto" w:fill="FFFFFF"/>
        </w:rPr>
        <w:t xml:space="preserve"> and arbitrary arrest and detention was identified as a high protection concern in </w:t>
      </w:r>
      <w:proofErr w:type="spellStart"/>
      <w:r w:rsidR="00AE7DA0" w:rsidRPr="00343052">
        <w:rPr>
          <w:rFonts w:cstheme="majorBidi"/>
          <w:shd w:val="clear" w:color="auto" w:fill="FFFFFF"/>
        </w:rPr>
        <w:t>Lattakia</w:t>
      </w:r>
      <w:proofErr w:type="spellEnd"/>
      <w:r w:rsidR="00AE7DA0" w:rsidRPr="00343052">
        <w:rPr>
          <w:rFonts w:cstheme="majorBidi"/>
          <w:shd w:val="clear" w:color="auto" w:fill="FFFFFF"/>
        </w:rPr>
        <w:t>.</w:t>
      </w:r>
      <w:r w:rsidR="00AE7DA0" w:rsidRPr="00343052">
        <w:rPr>
          <w:rStyle w:val="FootnoteReference"/>
          <w:rFonts w:cstheme="majorBidi"/>
          <w:shd w:val="clear" w:color="auto" w:fill="FFFFFF"/>
        </w:rPr>
        <w:footnoteReference w:id="56"/>
      </w:r>
    </w:p>
    <w:p w:rsidR="004E690A" w:rsidRPr="00343052" w:rsidRDefault="004E690A" w:rsidP="00C97A42">
      <w:pPr>
        <w:pStyle w:val="Default"/>
        <w:spacing w:line="276" w:lineRule="auto"/>
        <w:jc w:val="both"/>
        <w:rPr>
          <w:rFonts w:asciiTheme="minorHAnsi" w:hAnsiTheme="minorHAnsi" w:cstheme="majorBidi"/>
          <w:b/>
          <w:bCs/>
          <w:color w:val="auto"/>
          <w:sz w:val="22"/>
          <w:szCs w:val="22"/>
          <w:lang w:val="en-GB"/>
        </w:rPr>
      </w:pPr>
      <w:r w:rsidRPr="00343052">
        <w:rPr>
          <w:rFonts w:asciiTheme="minorHAnsi" w:hAnsiTheme="minorHAnsi" w:cstheme="majorBidi"/>
          <w:b/>
          <w:bCs/>
          <w:color w:val="auto"/>
          <w:sz w:val="22"/>
          <w:szCs w:val="22"/>
          <w:lang w:val="en-GB"/>
        </w:rPr>
        <w:t xml:space="preserve">Human Shields: </w:t>
      </w:r>
      <w:r w:rsidRPr="00343052">
        <w:rPr>
          <w:rFonts w:asciiTheme="minorHAnsi" w:hAnsiTheme="minorHAnsi" w:cstheme="majorBidi"/>
          <w:color w:val="auto"/>
          <w:sz w:val="22"/>
          <w:szCs w:val="22"/>
        </w:rPr>
        <w:t xml:space="preserve">Up until August 2012, the </w:t>
      </w:r>
      <w:r w:rsidR="007C027E" w:rsidRPr="00343052">
        <w:rPr>
          <w:rFonts w:asciiTheme="minorHAnsi" w:hAnsiTheme="minorHAnsi" w:cstheme="majorBidi"/>
          <w:color w:val="auto"/>
          <w:sz w:val="22"/>
          <w:szCs w:val="22"/>
        </w:rPr>
        <w:t>C</w:t>
      </w:r>
      <w:r w:rsidRPr="00343052">
        <w:rPr>
          <w:rFonts w:asciiTheme="minorHAnsi" w:hAnsiTheme="minorHAnsi" w:cstheme="majorBidi"/>
          <w:color w:val="auto"/>
          <w:sz w:val="22"/>
          <w:szCs w:val="22"/>
        </w:rPr>
        <w:t xml:space="preserve">ommission </w:t>
      </w:r>
      <w:r w:rsidR="007C027E" w:rsidRPr="00343052">
        <w:rPr>
          <w:rFonts w:asciiTheme="minorHAnsi" w:hAnsiTheme="minorHAnsi" w:cstheme="majorBidi"/>
          <w:color w:val="auto"/>
          <w:sz w:val="22"/>
          <w:szCs w:val="22"/>
        </w:rPr>
        <w:t xml:space="preserve">of Inquiry </w:t>
      </w:r>
      <w:r w:rsidRPr="00343052">
        <w:rPr>
          <w:rFonts w:asciiTheme="minorHAnsi" w:hAnsiTheme="minorHAnsi" w:cstheme="majorBidi"/>
          <w:color w:val="auto"/>
          <w:sz w:val="22"/>
          <w:szCs w:val="22"/>
        </w:rPr>
        <w:t xml:space="preserve">had documented at least three separate incidents in which forces reportedly used children as young as eight as hostages and as human shields, including in </w:t>
      </w:r>
      <w:proofErr w:type="spellStart"/>
      <w:r w:rsidRPr="00343052">
        <w:rPr>
          <w:rFonts w:asciiTheme="minorHAnsi" w:hAnsiTheme="minorHAnsi" w:cstheme="majorBidi"/>
          <w:color w:val="auto"/>
          <w:sz w:val="22"/>
          <w:szCs w:val="22"/>
        </w:rPr>
        <w:t>Idlib</w:t>
      </w:r>
      <w:proofErr w:type="spellEnd"/>
      <w:r w:rsidRPr="00343052">
        <w:rPr>
          <w:rFonts w:asciiTheme="minorHAnsi" w:hAnsiTheme="minorHAnsi" w:cstheme="majorBidi"/>
          <w:color w:val="auto"/>
          <w:sz w:val="22"/>
          <w:szCs w:val="22"/>
        </w:rPr>
        <w:t xml:space="preserve"> where soldiers forced children to walk with them as they moved around the town. When the soldiers withdrew, reportedly three families, including a number of children, were forced to walk alongside a moving tank. In </w:t>
      </w:r>
      <w:proofErr w:type="spellStart"/>
      <w:r w:rsidRPr="00343052">
        <w:rPr>
          <w:rFonts w:asciiTheme="minorHAnsi" w:hAnsiTheme="minorHAnsi" w:cstheme="majorBidi"/>
          <w:color w:val="auto"/>
          <w:sz w:val="22"/>
          <w:szCs w:val="22"/>
        </w:rPr>
        <w:t>Taftanaz</w:t>
      </w:r>
      <w:proofErr w:type="spellEnd"/>
      <w:r w:rsidR="007C027E" w:rsidRPr="00343052">
        <w:rPr>
          <w:rFonts w:asciiTheme="minorHAnsi" w:hAnsiTheme="minorHAnsi" w:cstheme="majorBidi"/>
          <w:color w:val="auto"/>
          <w:sz w:val="22"/>
          <w:szCs w:val="22"/>
        </w:rPr>
        <w:t xml:space="preserve"> (</w:t>
      </w:r>
      <w:proofErr w:type="spellStart"/>
      <w:r w:rsidR="007C027E" w:rsidRPr="00343052">
        <w:rPr>
          <w:rFonts w:asciiTheme="minorHAnsi" w:hAnsiTheme="minorHAnsi" w:cstheme="majorBidi"/>
          <w:color w:val="auto"/>
          <w:sz w:val="22"/>
          <w:szCs w:val="22"/>
        </w:rPr>
        <w:t>Idlib</w:t>
      </w:r>
      <w:proofErr w:type="spellEnd"/>
      <w:r w:rsidR="007C027E" w:rsidRPr="00343052">
        <w:rPr>
          <w:rFonts w:asciiTheme="minorHAnsi" w:hAnsiTheme="minorHAnsi" w:cstheme="majorBidi"/>
          <w:color w:val="auto"/>
          <w:sz w:val="22"/>
          <w:szCs w:val="22"/>
        </w:rPr>
        <w:t xml:space="preserve"> governorate)</w:t>
      </w:r>
      <w:r w:rsidRPr="00343052">
        <w:rPr>
          <w:rFonts w:asciiTheme="minorHAnsi" w:hAnsiTheme="minorHAnsi" w:cstheme="majorBidi"/>
          <w:color w:val="auto"/>
          <w:sz w:val="22"/>
          <w:szCs w:val="22"/>
        </w:rPr>
        <w:t xml:space="preserve">, children were reportedly removed from their houses by soldiers and forced to walk in front of a tank as it moved through the town. In </w:t>
      </w:r>
      <w:proofErr w:type="spellStart"/>
      <w:r w:rsidRPr="00343052">
        <w:rPr>
          <w:rFonts w:asciiTheme="minorHAnsi" w:hAnsiTheme="minorHAnsi" w:cstheme="majorBidi"/>
          <w:color w:val="auto"/>
          <w:sz w:val="22"/>
          <w:szCs w:val="22"/>
        </w:rPr>
        <w:t>Ain</w:t>
      </w:r>
      <w:proofErr w:type="spellEnd"/>
      <w:r w:rsidRPr="00343052">
        <w:rPr>
          <w:rFonts w:asciiTheme="minorHAnsi" w:hAnsiTheme="minorHAnsi" w:cstheme="majorBidi"/>
          <w:color w:val="auto"/>
          <w:sz w:val="22"/>
          <w:szCs w:val="22"/>
        </w:rPr>
        <w:t xml:space="preserve"> </w:t>
      </w:r>
      <w:proofErr w:type="spellStart"/>
      <w:r w:rsidRPr="00343052">
        <w:rPr>
          <w:rFonts w:asciiTheme="minorHAnsi" w:hAnsiTheme="minorHAnsi" w:cstheme="majorBidi"/>
          <w:color w:val="auto"/>
          <w:sz w:val="22"/>
          <w:szCs w:val="22"/>
        </w:rPr>
        <w:t>Larouz</w:t>
      </w:r>
      <w:proofErr w:type="spellEnd"/>
      <w:r w:rsidRPr="00343052">
        <w:rPr>
          <w:rFonts w:asciiTheme="minorHAnsi" w:hAnsiTheme="minorHAnsi" w:cstheme="majorBidi"/>
          <w:color w:val="auto"/>
          <w:sz w:val="22"/>
          <w:szCs w:val="22"/>
        </w:rPr>
        <w:t xml:space="preserve"> </w:t>
      </w:r>
      <w:r w:rsidR="007C027E" w:rsidRPr="00343052">
        <w:rPr>
          <w:rFonts w:asciiTheme="minorHAnsi" w:hAnsiTheme="minorHAnsi" w:cstheme="majorBidi"/>
          <w:color w:val="auto"/>
          <w:sz w:val="22"/>
          <w:szCs w:val="22"/>
        </w:rPr>
        <w:t>(</w:t>
      </w:r>
      <w:proofErr w:type="spellStart"/>
      <w:r w:rsidR="007C027E" w:rsidRPr="00343052">
        <w:rPr>
          <w:rFonts w:asciiTheme="minorHAnsi" w:hAnsiTheme="minorHAnsi" w:cstheme="majorBidi"/>
          <w:color w:val="auto"/>
          <w:sz w:val="22"/>
          <w:szCs w:val="22"/>
        </w:rPr>
        <w:t>Idlib</w:t>
      </w:r>
      <w:proofErr w:type="spellEnd"/>
      <w:r w:rsidR="007C027E" w:rsidRPr="00343052">
        <w:rPr>
          <w:rFonts w:asciiTheme="minorHAnsi" w:hAnsiTheme="minorHAnsi" w:cstheme="majorBidi"/>
          <w:color w:val="auto"/>
          <w:sz w:val="22"/>
          <w:szCs w:val="22"/>
        </w:rPr>
        <w:t xml:space="preserve"> governorate) </w:t>
      </w:r>
      <w:r w:rsidRPr="00343052">
        <w:rPr>
          <w:rFonts w:asciiTheme="minorHAnsi" w:hAnsiTheme="minorHAnsi" w:cstheme="majorBidi"/>
          <w:color w:val="auto"/>
          <w:sz w:val="22"/>
          <w:szCs w:val="22"/>
        </w:rPr>
        <w:t xml:space="preserve">several dozen children, boys and girls ranging between the ages of eight and 13 years, were forcibly taken from their homes and reportedly placed by soldiers and </w:t>
      </w:r>
      <w:proofErr w:type="spellStart"/>
      <w:r w:rsidRPr="00343052">
        <w:rPr>
          <w:rFonts w:asciiTheme="minorHAnsi" w:hAnsiTheme="minorHAnsi" w:cstheme="majorBidi"/>
          <w:i/>
          <w:iCs/>
          <w:color w:val="auto"/>
          <w:sz w:val="22"/>
          <w:szCs w:val="22"/>
        </w:rPr>
        <w:t>Shabbiha</w:t>
      </w:r>
      <w:proofErr w:type="spellEnd"/>
      <w:r w:rsidRPr="00343052">
        <w:rPr>
          <w:rFonts w:asciiTheme="minorHAnsi" w:hAnsiTheme="minorHAnsi" w:cstheme="majorBidi"/>
          <w:i/>
          <w:iCs/>
          <w:color w:val="auto"/>
          <w:sz w:val="22"/>
          <w:szCs w:val="22"/>
        </w:rPr>
        <w:t xml:space="preserve"> </w:t>
      </w:r>
      <w:r w:rsidRPr="00343052">
        <w:rPr>
          <w:rFonts w:asciiTheme="minorHAnsi" w:hAnsiTheme="minorHAnsi" w:cstheme="majorBidi"/>
          <w:color w:val="auto"/>
          <w:sz w:val="22"/>
          <w:szCs w:val="22"/>
        </w:rPr>
        <w:t>in front of the windows of buses carrying military personnel into the raid on the village.</w:t>
      </w:r>
      <w:r w:rsidRPr="00343052">
        <w:rPr>
          <w:rStyle w:val="FootnoteReference"/>
          <w:rFonts w:asciiTheme="minorHAnsi" w:hAnsiTheme="minorHAnsi" w:cstheme="majorBidi"/>
          <w:color w:val="auto"/>
          <w:sz w:val="22"/>
          <w:szCs w:val="22"/>
        </w:rPr>
        <w:footnoteReference w:id="57"/>
      </w:r>
      <w:r w:rsidR="007F5FAC">
        <w:rPr>
          <w:rFonts w:asciiTheme="minorHAnsi" w:hAnsiTheme="minorHAnsi" w:cstheme="majorBidi"/>
          <w:color w:val="auto"/>
          <w:sz w:val="22"/>
          <w:szCs w:val="22"/>
        </w:rPr>
        <w:t xml:space="preserve">  In </w:t>
      </w:r>
      <w:r w:rsidR="00481BF5">
        <w:rPr>
          <w:rFonts w:asciiTheme="minorHAnsi" w:hAnsiTheme="minorHAnsi" w:cstheme="majorBidi"/>
          <w:color w:val="auto"/>
          <w:sz w:val="22"/>
          <w:szCs w:val="22"/>
        </w:rPr>
        <w:t xml:space="preserve">May 2012 in </w:t>
      </w:r>
      <w:r w:rsidR="007F5FAC">
        <w:rPr>
          <w:rFonts w:asciiTheme="minorHAnsi" w:hAnsiTheme="minorHAnsi" w:cstheme="majorBidi"/>
          <w:color w:val="auto"/>
          <w:sz w:val="22"/>
          <w:szCs w:val="22"/>
        </w:rPr>
        <w:t xml:space="preserve">Aleppo, national armed forces reportedly raided a primary school and took hostage 30 boys and 25 girls between 10 and 13 years of age and walked them in print of the forces in order to flush out a local </w:t>
      </w:r>
      <w:r w:rsidR="000B6EB6">
        <w:rPr>
          <w:rFonts w:asciiTheme="minorHAnsi" w:hAnsiTheme="minorHAnsi" w:cstheme="majorBidi"/>
          <w:color w:val="auto"/>
          <w:sz w:val="22"/>
          <w:szCs w:val="22"/>
        </w:rPr>
        <w:t>opposition</w:t>
      </w:r>
      <w:r w:rsidR="007F5FAC">
        <w:rPr>
          <w:rFonts w:asciiTheme="minorHAnsi" w:hAnsiTheme="minorHAnsi" w:cstheme="majorBidi"/>
          <w:color w:val="auto"/>
          <w:sz w:val="22"/>
          <w:szCs w:val="22"/>
        </w:rPr>
        <w:t xml:space="preserve"> that had recently </w:t>
      </w:r>
      <w:r w:rsidR="00481BF5">
        <w:rPr>
          <w:rFonts w:asciiTheme="minorHAnsi" w:hAnsiTheme="minorHAnsi" w:cstheme="majorBidi"/>
          <w:color w:val="auto"/>
          <w:sz w:val="22"/>
          <w:szCs w:val="22"/>
        </w:rPr>
        <w:t>taken the town.</w:t>
      </w:r>
      <w:r w:rsidR="00481BF5">
        <w:rPr>
          <w:rStyle w:val="FootnoteReference"/>
          <w:rFonts w:asciiTheme="minorHAnsi" w:hAnsiTheme="minorHAnsi" w:cstheme="majorBidi"/>
          <w:color w:val="auto"/>
          <w:sz w:val="22"/>
          <w:szCs w:val="22"/>
        </w:rPr>
        <w:footnoteReference w:id="58"/>
      </w:r>
    </w:p>
    <w:p w:rsidR="00F62209" w:rsidRPr="00343052" w:rsidRDefault="00F62209" w:rsidP="00D66F25">
      <w:pPr>
        <w:tabs>
          <w:tab w:val="left" w:pos="0"/>
        </w:tabs>
        <w:contextualSpacing/>
        <w:jc w:val="both"/>
        <w:rPr>
          <w:rFonts w:cstheme="majorBidi"/>
          <w:b/>
          <w:bCs/>
        </w:rPr>
      </w:pPr>
    </w:p>
    <w:p w:rsidR="000F0C01" w:rsidRPr="00343052" w:rsidRDefault="00D05858" w:rsidP="00551DC3">
      <w:pPr>
        <w:tabs>
          <w:tab w:val="left" w:pos="0"/>
        </w:tabs>
        <w:contextualSpacing/>
        <w:jc w:val="both"/>
        <w:rPr>
          <w:rFonts w:cstheme="majorBidi"/>
        </w:rPr>
      </w:pPr>
      <w:r w:rsidRPr="00343052">
        <w:rPr>
          <w:rFonts w:cstheme="majorBidi"/>
          <w:b/>
          <w:bCs/>
        </w:rPr>
        <w:lastRenderedPageBreak/>
        <w:t>Hostage taking, kidnappings</w:t>
      </w:r>
      <w:r w:rsidR="00622A17" w:rsidRPr="00343052">
        <w:rPr>
          <w:rFonts w:cstheme="majorBidi"/>
          <w:b/>
          <w:bCs/>
        </w:rPr>
        <w:t xml:space="preserve">, </w:t>
      </w:r>
      <w:r w:rsidR="00D108A0" w:rsidRPr="00343052">
        <w:rPr>
          <w:rFonts w:cstheme="majorBidi"/>
          <w:b/>
          <w:bCs/>
        </w:rPr>
        <w:t>disappearance</w:t>
      </w:r>
      <w:r w:rsidR="00896143" w:rsidRPr="00343052">
        <w:rPr>
          <w:rFonts w:cstheme="majorBidi"/>
        </w:rPr>
        <w:t xml:space="preserve">: </w:t>
      </w:r>
      <w:r w:rsidR="00F62209" w:rsidRPr="00343052">
        <w:rPr>
          <w:rFonts w:cstheme="majorBidi"/>
        </w:rPr>
        <w:t>The</w:t>
      </w:r>
      <w:r w:rsidR="00B32B12" w:rsidRPr="00343052">
        <w:rPr>
          <w:rFonts w:cstheme="majorBidi"/>
        </w:rPr>
        <w:t xml:space="preserve">re has been a </w:t>
      </w:r>
      <w:r w:rsidRPr="00343052">
        <w:rPr>
          <w:rFonts w:cstheme="majorBidi"/>
        </w:rPr>
        <w:t>d</w:t>
      </w:r>
      <w:r w:rsidR="00622A17" w:rsidRPr="00343052">
        <w:rPr>
          <w:rFonts w:cstheme="majorBidi"/>
        </w:rPr>
        <w:t xml:space="preserve">ramatic rise in hostage taking; </w:t>
      </w:r>
      <w:r w:rsidRPr="00343052">
        <w:rPr>
          <w:rFonts w:cstheme="majorBidi"/>
        </w:rPr>
        <w:t>ofte</w:t>
      </w:r>
      <w:r w:rsidR="00622A17" w:rsidRPr="00343052">
        <w:rPr>
          <w:rFonts w:cstheme="majorBidi"/>
        </w:rPr>
        <w:t xml:space="preserve">n sectarian in nature and fuelling </w:t>
      </w:r>
      <w:r w:rsidRPr="00343052">
        <w:rPr>
          <w:rFonts w:cstheme="majorBidi"/>
        </w:rPr>
        <w:t>inter-communal tensions.</w:t>
      </w:r>
      <w:r w:rsidR="00622A17" w:rsidRPr="00343052">
        <w:rPr>
          <w:rFonts w:cstheme="majorBidi"/>
        </w:rPr>
        <w:t xml:space="preserve"> </w:t>
      </w:r>
      <w:r w:rsidR="00551DC3">
        <w:rPr>
          <w:rFonts w:cstheme="majorBidi"/>
        </w:rPr>
        <w:t>A number of children have been held as ransom for parents and other relatives associated with opposition fighters to force them to turn themselves in to the State authorities.</w:t>
      </w:r>
      <w:r w:rsidR="00551DC3">
        <w:rPr>
          <w:rStyle w:val="FootnoteReference"/>
          <w:rFonts w:cstheme="majorBidi"/>
        </w:rPr>
        <w:footnoteReference w:id="59"/>
      </w:r>
      <w:r w:rsidR="00551DC3">
        <w:rPr>
          <w:rFonts w:cstheme="majorBidi"/>
        </w:rPr>
        <w:t xml:space="preserve"> </w:t>
      </w:r>
      <w:r w:rsidR="00F62209" w:rsidRPr="00343052">
        <w:rPr>
          <w:rFonts w:cstheme="majorBidi"/>
        </w:rPr>
        <w:t>Additionally, a</w:t>
      </w:r>
      <w:r w:rsidR="00896143" w:rsidRPr="00343052">
        <w:rPr>
          <w:rFonts w:cstheme="majorBidi"/>
        </w:rPr>
        <w:t xml:space="preserve">n increase in kidnappings </w:t>
      </w:r>
      <w:r w:rsidR="00F62209" w:rsidRPr="00343052">
        <w:rPr>
          <w:rFonts w:cstheme="majorBidi"/>
        </w:rPr>
        <w:t xml:space="preserve">has been </w:t>
      </w:r>
      <w:r w:rsidR="00622A17" w:rsidRPr="00343052">
        <w:rPr>
          <w:rFonts w:cstheme="majorBidi"/>
        </w:rPr>
        <w:t xml:space="preserve">reported, including a 6 year old with her mother in </w:t>
      </w:r>
      <w:proofErr w:type="spellStart"/>
      <w:r w:rsidR="00622A17" w:rsidRPr="00343052">
        <w:rPr>
          <w:rFonts w:cstheme="majorBidi"/>
        </w:rPr>
        <w:t>Idlib</w:t>
      </w:r>
      <w:proofErr w:type="spellEnd"/>
      <w:r w:rsidR="00622A17" w:rsidRPr="00343052">
        <w:rPr>
          <w:rFonts w:cstheme="majorBidi"/>
        </w:rPr>
        <w:t xml:space="preserve"> in December 2012</w:t>
      </w:r>
      <w:r w:rsidR="00622A17" w:rsidRPr="00343052">
        <w:rPr>
          <w:rStyle w:val="FootnoteReference"/>
          <w:rFonts w:cstheme="majorBidi"/>
        </w:rPr>
        <w:footnoteReference w:id="60"/>
      </w:r>
      <w:r w:rsidR="00622A17" w:rsidRPr="00343052">
        <w:rPr>
          <w:rFonts w:cstheme="majorBidi"/>
        </w:rPr>
        <w:t>. This rise is</w:t>
      </w:r>
      <w:r w:rsidR="00896143" w:rsidRPr="00343052">
        <w:rPr>
          <w:rFonts w:cstheme="majorBidi"/>
        </w:rPr>
        <w:t xml:space="preserve"> assumed to be driven by sectarian or monetary reasons.</w:t>
      </w:r>
      <w:r w:rsidR="00F62209" w:rsidRPr="00343052">
        <w:rPr>
          <w:rStyle w:val="FootnoteReference"/>
          <w:rFonts w:cstheme="majorBidi"/>
        </w:rPr>
        <w:footnoteReference w:id="61"/>
      </w:r>
      <w:r w:rsidR="00896143" w:rsidRPr="00343052">
        <w:rPr>
          <w:rFonts w:cstheme="majorBidi"/>
        </w:rPr>
        <w:t xml:space="preserve"> </w:t>
      </w:r>
      <w:r w:rsidR="00622A17" w:rsidRPr="00343052">
        <w:rPr>
          <w:rFonts w:cstheme="majorBidi"/>
        </w:rPr>
        <w:t xml:space="preserve"> </w:t>
      </w:r>
    </w:p>
    <w:p w:rsidR="000F0C01" w:rsidRPr="00343052" w:rsidRDefault="000F0C01" w:rsidP="00D66F25">
      <w:pPr>
        <w:tabs>
          <w:tab w:val="left" w:pos="0"/>
        </w:tabs>
        <w:contextualSpacing/>
        <w:jc w:val="both"/>
        <w:rPr>
          <w:rFonts w:cstheme="majorBidi"/>
        </w:rPr>
      </w:pPr>
    </w:p>
    <w:p w:rsidR="00541D93" w:rsidRPr="00343052" w:rsidRDefault="004E690A" w:rsidP="000F0C01">
      <w:pPr>
        <w:tabs>
          <w:tab w:val="left" w:pos="0"/>
        </w:tabs>
        <w:contextualSpacing/>
        <w:jc w:val="both"/>
        <w:rPr>
          <w:rFonts w:cstheme="majorBidi"/>
          <w:lang w:val="en-US"/>
        </w:rPr>
      </w:pPr>
      <w:r w:rsidRPr="00343052">
        <w:rPr>
          <w:rFonts w:cstheme="majorBidi"/>
          <w:lang w:val="en-US"/>
        </w:rPr>
        <w:t xml:space="preserve">Thousands of people have disappeared from their homes, at </w:t>
      </w:r>
      <w:r w:rsidR="00541D93" w:rsidRPr="00343052">
        <w:rPr>
          <w:rFonts w:cstheme="majorBidi"/>
          <w:lang w:val="en-US"/>
        </w:rPr>
        <w:t>checkpoints and from the street</w:t>
      </w:r>
      <w:r w:rsidRPr="00343052">
        <w:rPr>
          <w:rFonts w:cstheme="majorBidi"/>
          <w:lang w:val="en-US"/>
        </w:rPr>
        <w:t>.</w:t>
      </w:r>
      <w:r w:rsidR="00541D93" w:rsidRPr="00343052">
        <w:rPr>
          <w:rFonts w:cstheme="majorBidi"/>
          <w:lang w:val="en-US"/>
        </w:rPr>
        <w:t xml:space="preserve"> Enforced disappearance places its victims outside the law, violating their right to recognition as a person before the law, to liberty and security and freedom from arbitrary detention. It is often a gateway to the commission of further crimes, such as torture. The investigation of enforced disappearance is often particularly difficult because families — living in hope that their relatives will be safely returned to them — do not provide names and other details of disappeared persons.</w:t>
      </w:r>
      <w:r w:rsidR="00541D93" w:rsidRPr="00343052">
        <w:rPr>
          <w:rStyle w:val="FootnoteReference"/>
          <w:rFonts w:cstheme="majorBidi"/>
          <w:lang w:val="en-US"/>
        </w:rPr>
        <w:footnoteReference w:id="62"/>
      </w:r>
    </w:p>
    <w:p w:rsidR="00F62209" w:rsidRPr="00343052" w:rsidRDefault="00F62209" w:rsidP="00D66F25">
      <w:pPr>
        <w:tabs>
          <w:tab w:val="left" w:pos="0"/>
        </w:tabs>
        <w:contextualSpacing/>
        <w:jc w:val="both"/>
        <w:rPr>
          <w:rFonts w:cstheme="majorBidi"/>
          <w:lang w:val="en-US"/>
        </w:rPr>
      </w:pPr>
    </w:p>
    <w:p w:rsidR="00F62209" w:rsidRDefault="00F62209" w:rsidP="00D66F25">
      <w:pPr>
        <w:tabs>
          <w:tab w:val="left" w:pos="0"/>
        </w:tabs>
        <w:contextualSpacing/>
        <w:jc w:val="both"/>
        <w:rPr>
          <w:rFonts w:cstheme="majorBidi"/>
          <w:lang w:val="en-US"/>
        </w:rPr>
      </w:pPr>
      <w:r w:rsidRPr="00343052">
        <w:rPr>
          <w:rFonts w:cstheme="majorBidi"/>
          <w:b/>
          <w:bCs/>
          <w:lang w:val="en-US"/>
        </w:rPr>
        <w:t>Children participating in violence</w:t>
      </w:r>
      <w:r w:rsidR="00622A17" w:rsidRPr="00343052">
        <w:rPr>
          <w:rFonts w:cstheme="majorBidi"/>
          <w:b/>
          <w:bCs/>
          <w:lang w:val="en-US"/>
        </w:rPr>
        <w:t xml:space="preserve">: </w:t>
      </w:r>
      <w:r w:rsidR="00622A17" w:rsidRPr="00343052">
        <w:rPr>
          <w:rFonts w:cstheme="majorBidi"/>
          <w:lang w:val="en-US"/>
        </w:rPr>
        <w:t xml:space="preserve">information is limited. </w:t>
      </w:r>
      <w:r w:rsidR="007D02E2" w:rsidRPr="00343052">
        <w:rPr>
          <w:rFonts w:cstheme="majorBidi"/>
          <w:lang w:val="en-US"/>
        </w:rPr>
        <w:t>A case is recorded by the Commission of Inquiry of a c</w:t>
      </w:r>
      <w:r w:rsidRPr="00343052">
        <w:rPr>
          <w:rFonts w:cstheme="majorBidi"/>
          <w:lang w:val="en-US"/>
        </w:rPr>
        <w:t>hild participating in the beheading of two kidnapped men</w:t>
      </w:r>
      <w:r w:rsidR="007D02E2" w:rsidRPr="00343052">
        <w:rPr>
          <w:rFonts w:cstheme="majorBidi"/>
          <w:lang w:val="en-US"/>
        </w:rPr>
        <w:t>.</w:t>
      </w:r>
      <w:r w:rsidRPr="00343052">
        <w:rPr>
          <w:rStyle w:val="FootnoteReference"/>
          <w:rFonts w:cstheme="majorBidi"/>
          <w:lang w:val="en-US"/>
        </w:rPr>
        <w:footnoteReference w:id="63"/>
      </w:r>
    </w:p>
    <w:p w:rsidR="00DF5A94" w:rsidRPr="00380A79" w:rsidRDefault="00DF5A94" w:rsidP="008212D4">
      <w:pPr>
        <w:pStyle w:val="DeskReview2"/>
        <w:numPr>
          <w:ilvl w:val="0"/>
          <w:numId w:val="47"/>
        </w:numPr>
        <w:spacing w:line="276" w:lineRule="auto"/>
        <w:ind w:firstLine="0"/>
        <w:jc w:val="both"/>
        <w:outlineLvl w:val="1"/>
        <w:rPr>
          <w:rFonts w:asciiTheme="minorHAnsi" w:hAnsiTheme="minorHAnsi" w:cstheme="majorBidi"/>
          <w:bCs/>
          <w:i/>
          <w:iCs/>
          <w:color w:val="auto"/>
          <w:u w:val="single"/>
        </w:rPr>
      </w:pPr>
      <w:bookmarkStart w:id="11" w:name="_Toc367720283"/>
      <w:r w:rsidRPr="00380A79">
        <w:rPr>
          <w:rFonts w:asciiTheme="minorHAnsi" w:hAnsiTheme="minorHAnsi" w:cstheme="majorBidi"/>
          <w:bCs/>
          <w:i/>
          <w:iCs/>
          <w:color w:val="1F497D" w:themeColor="text2"/>
          <w:u w:val="single"/>
        </w:rPr>
        <w:t>Worst Forms of Child Labour</w:t>
      </w:r>
      <w:bookmarkEnd w:id="11"/>
    </w:p>
    <w:p w:rsidR="00E40EC6" w:rsidRPr="00343052" w:rsidRDefault="00E40EC6" w:rsidP="00D66F25">
      <w:pPr>
        <w:pStyle w:val="DeskReview2"/>
        <w:numPr>
          <w:ilvl w:val="1"/>
          <w:numId w:val="38"/>
        </w:numPr>
        <w:spacing w:line="276" w:lineRule="auto"/>
        <w:jc w:val="both"/>
        <w:outlineLvl w:val="2"/>
        <w:rPr>
          <w:rFonts w:asciiTheme="minorHAnsi" w:hAnsiTheme="minorHAnsi" w:cstheme="majorBidi"/>
          <w:bCs/>
          <w:color w:val="1F497D" w:themeColor="text2"/>
          <w:sz w:val="22"/>
          <w:szCs w:val="22"/>
        </w:rPr>
      </w:pPr>
      <w:bookmarkStart w:id="12" w:name="_Toc358663763"/>
      <w:bookmarkStart w:id="13" w:name="_Toc367720284"/>
      <w:r w:rsidRPr="00343052">
        <w:rPr>
          <w:rFonts w:asciiTheme="minorHAnsi" w:hAnsiTheme="minorHAnsi" w:cstheme="majorBidi"/>
          <w:bCs/>
          <w:color w:val="1F497D" w:themeColor="text2"/>
          <w:sz w:val="22"/>
          <w:szCs w:val="22"/>
        </w:rPr>
        <w:t>Understanding of the issue before the conflict</w:t>
      </w:r>
      <w:bookmarkEnd w:id="12"/>
      <w:bookmarkEnd w:id="13"/>
    </w:p>
    <w:p w:rsidR="00AE7876" w:rsidRPr="00343052" w:rsidRDefault="00D45AA2" w:rsidP="00D66F25">
      <w:pPr>
        <w:jc w:val="both"/>
        <w:rPr>
          <w:rFonts w:cstheme="majorBidi"/>
          <w:color w:val="000000" w:themeColor="text1"/>
          <w:lang w:val="en-US"/>
        </w:rPr>
      </w:pPr>
      <w:r w:rsidRPr="00343052">
        <w:rPr>
          <w:rFonts w:cstheme="majorBidi"/>
          <w:color w:val="000000" w:themeColor="text1"/>
          <w:lang w:val="en-US"/>
        </w:rPr>
        <w:t xml:space="preserve">Syria ratified the ILO Convention 182 on the Elimination of the Worst Forms of Child </w:t>
      </w:r>
      <w:proofErr w:type="spellStart"/>
      <w:r w:rsidRPr="00343052">
        <w:rPr>
          <w:rFonts w:cstheme="majorBidi"/>
          <w:color w:val="000000" w:themeColor="text1"/>
          <w:lang w:val="en-US"/>
        </w:rPr>
        <w:t>Labour</w:t>
      </w:r>
      <w:proofErr w:type="spellEnd"/>
      <w:r w:rsidR="002F6C48" w:rsidRPr="00343052">
        <w:rPr>
          <w:rFonts w:cstheme="majorBidi"/>
          <w:color w:val="000000" w:themeColor="text1"/>
          <w:lang w:val="en-US"/>
        </w:rPr>
        <w:t xml:space="preserve"> in 2000</w:t>
      </w:r>
      <w:r w:rsidRPr="00343052">
        <w:rPr>
          <w:rFonts w:cstheme="majorBidi"/>
          <w:color w:val="000000" w:themeColor="text1"/>
          <w:lang w:val="en-US"/>
        </w:rPr>
        <w:t>.</w:t>
      </w:r>
      <w:r w:rsidRPr="00343052">
        <w:rPr>
          <w:rStyle w:val="FootnoteReference"/>
          <w:rFonts w:cstheme="majorBidi"/>
          <w:color w:val="000000" w:themeColor="text1"/>
          <w:lang w:val="en-US"/>
        </w:rPr>
        <w:footnoteReference w:id="64"/>
      </w:r>
      <w:r w:rsidR="002F6C48" w:rsidRPr="00343052">
        <w:rPr>
          <w:rFonts w:cstheme="majorBidi"/>
          <w:color w:val="000000" w:themeColor="text1"/>
          <w:lang w:val="en-US"/>
        </w:rPr>
        <w:t xml:space="preserve"> </w:t>
      </w:r>
    </w:p>
    <w:p w:rsidR="004B5A57" w:rsidRPr="00343052" w:rsidRDefault="004B5A57" w:rsidP="00D66F25">
      <w:pPr>
        <w:jc w:val="both"/>
        <w:rPr>
          <w:rFonts w:cstheme="majorBidi"/>
          <w:lang w:val="en-US"/>
        </w:rPr>
      </w:pPr>
      <w:r w:rsidRPr="00343052">
        <w:rPr>
          <w:rFonts w:cstheme="majorBidi"/>
          <w:lang w:val="en-US"/>
        </w:rPr>
        <w:t xml:space="preserve">The age of employment is 15 years and </w:t>
      </w:r>
      <w:r w:rsidR="00AE7876" w:rsidRPr="00343052">
        <w:rPr>
          <w:rFonts w:cstheme="majorBidi"/>
          <w:lang w:val="en-US"/>
        </w:rPr>
        <w:t xml:space="preserve">while </w:t>
      </w:r>
      <w:r w:rsidRPr="00343052">
        <w:rPr>
          <w:rFonts w:cstheme="majorBidi"/>
          <w:lang w:val="en-US"/>
        </w:rPr>
        <w:t>there are protective conditions on children aged 15-18 years related to the nature, conditions, working hours an</w:t>
      </w:r>
      <w:r w:rsidR="002F6C48" w:rsidRPr="00343052">
        <w:rPr>
          <w:rFonts w:cstheme="majorBidi"/>
          <w:lang w:val="en-US"/>
        </w:rPr>
        <w:t>d types of permissible work</w:t>
      </w:r>
      <w:r w:rsidR="00AE7876" w:rsidRPr="00343052">
        <w:rPr>
          <w:rFonts w:cstheme="majorBidi"/>
          <w:lang w:val="en-US"/>
        </w:rPr>
        <w:t xml:space="preserve">, </w:t>
      </w:r>
      <w:r w:rsidR="002F6C48" w:rsidRPr="00343052">
        <w:rPr>
          <w:rFonts w:cstheme="majorBidi"/>
          <w:lang w:val="en-US"/>
        </w:rPr>
        <w:t>t</w:t>
      </w:r>
      <w:r w:rsidRPr="00343052">
        <w:rPr>
          <w:rFonts w:cstheme="majorBidi"/>
          <w:lang w:val="en-US"/>
        </w:rPr>
        <w:t>here is a significant gap between legal framework and adherence, due to absence of control and monitoring mechanisms</w:t>
      </w:r>
      <w:r w:rsidR="002F6C48" w:rsidRPr="00343052">
        <w:rPr>
          <w:rFonts w:cstheme="majorBidi"/>
          <w:lang w:val="en-US"/>
        </w:rPr>
        <w:t xml:space="preserve">. </w:t>
      </w:r>
    </w:p>
    <w:p w:rsidR="008557E8" w:rsidRPr="00343052" w:rsidRDefault="00F43264" w:rsidP="00D66F25">
      <w:pPr>
        <w:autoSpaceDE w:val="0"/>
        <w:autoSpaceDN w:val="0"/>
        <w:adjustRightInd w:val="0"/>
        <w:spacing w:after="0"/>
        <w:jc w:val="both"/>
        <w:rPr>
          <w:rFonts w:cstheme="majorBidi"/>
          <w:color w:val="000000" w:themeColor="text1"/>
        </w:rPr>
      </w:pPr>
      <w:r w:rsidRPr="00343052">
        <w:rPr>
          <w:rFonts w:cstheme="majorBidi"/>
          <w:color w:val="000000" w:themeColor="text1"/>
          <w:lang w:val="en-US"/>
        </w:rPr>
        <w:t>I</w:t>
      </w:r>
      <w:r w:rsidR="002F6C48" w:rsidRPr="00343052">
        <w:rPr>
          <w:rFonts w:cstheme="majorBidi"/>
          <w:color w:val="000000" w:themeColor="text1"/>
          <w:lang w:val="en-US"/>
        </w:rPr>
        <w:t>n 2000</w:t>
      </w:r>
      <w:r w:rsidRPr="00343052">
        <w:rPr>
          <w:rFonts w:cstheme="majorBidi"/>
          <w:color w:val="000000" w:themeColor="text1"/>
          <w:lang w:val="en-US"/>
        </w:rPr>
        <w:t xml:space="preserve"> a study </w:t>
      </w:r>
      <w:r w:rsidR="00AE7876" w:rsidRPr="00343052">
        <w:rPr>
          <w:rFonts w:cstheme="majorBidi"/>
          <w:color w:val="000000" w:themeColor="text1"/>
          <w:lang w:val="en-US"/>
        </w:rPr>
        <w:t>of</w:t>
      </w:r>
      <w:r w:rsidR="002F6C48" w:rsidRPr="00343052">
        <w:rPr>
          <w:rFonts w:cstheme="majorBidi"/>
          <w:color w:val="000000" w:themeColor="text1"/>
          <w:lang w:val="en-US"/>
        </w:rPr>
        <w:t xml:space="preserve"> 20,000 households reported that 3.2% children 10-11 years (3% boys</w:t>
      </w:r>
      <w:r w:rsidRPr="00343052">
        <w:rPr>
          <w:rFonts w:cstheme="majorBidi"/>
          <w:color w:val="000000" w:themeColor="text1"/>
          <w:lang w:val="en-US"/>
        </w:rPr>
        <w:t>; 3.4% girls)</w:t>
      </w:r>
      <w:r w:rsidR="008557E8" w:rsidRPr="00343052">
        <w:rPr>
          <w:rFonts w:cstheme="majorBidi"/>
          <w:color w:val="000000" w:themeColor="text1"/>
          <w:lang w:val="en-US"/>
        </w:rPr>
        <w:t>;</w:t>
      </w:r>
      <w:r w:rsidR="002F6C48" w:rsidRPr="00343052">
        <w:rPr>
          <w:rFonts w:cstheme="majorBidi"/>
          <w:color w:val="000000" w:themeColor="text1"/>
          <w:lang w:val="en-US"/>
        </w:rPr>
        <w:t xml:space="preserve"> 12.8% 12-14 years</w:t>
      </w:r>
      <w:r w:rsidRPr="00343052">
        <w:rPr>
          <w:rFonts w:cstheme="majorBidi"/>
          <w:color w:val="000000" w:themeColor="text1"/>
          <w:lang w:val="en-US"/>
        </w:rPr>
        <w:t xml:space="preserve"> (17% boys; 8.4% girls); and 33% 15-17 years (48.8% boys; 16.4% girls)</w:t>
      </w:r>
      <w:r w:rsidR="002F6C48" w:rsidRPr="00343052">
        <w:rPr>
          <w:rFonts w:cstheme="majorBidi"/>
          <w:color w:val="000000" w:themeColor="text1"/>
          <w:lang w:val="en-US"/>
        </w:rPr>
        <w:t xml:space="preserve"> work. </w:t>
      </w:r>
      <w:r w:rsidRPr="00343052">
        <w:rPr>
          <w:rFonts w:cstheme="majorBidi"/>
          <w:color w:val="000000" w:themeColor="text1"/>
          <w:lang w:val="en-US"/>
        </w:rPr>
        <w:t>Family businesses, agriculture, manufacturing, trade, hotels, restaurant</w:t>
      </w:r>
      <w:r w:rsidR="00AE7876" w:rsidRPr="00343052">
        <w:rPr>
          <w:rFonts w:cstheme="majorBidi"/>
          <w:color w:val="000000" w:themeColor="text1"/>
          <w:lang w:val="en-US"/>
        </w:rPr>
        <w:t>s and construction</w:t>
      </w:r>
      <w:r w:rsidRPr="00343052">
        <w:rPr>
          <w:rFonts w:cstheme="majorBidi"/>
          <w:color w:val="000000" w:themeColor="text1"/>
          <w:lang w:val="en-US"/>
        </w:rPr>
        <w:t xml:space="preserve"> were the main employers of children. Two-thirds of these children worked in rural areas, with the highest rates in northeastern governorates – </w:t>
      </w:r>
      <w:proofErr w:type="spellStart"/>
      <w:r w:rsidRPr="00343052">
        <w:rPr>
          <w:rFonts w:cstheme="majorBidi"/>
          <w:color w:val="000000" w:themeColor="text1"/>
          <w:lang w:val="en-US"/>
        </w:rPr>
        <w:t>Deir</w:t>
      </w:r>
      <w:proofErr w:type="spellEnd"/>
      <w:r w:rsidRPr="00343052">
        <w:rPr>
          <w:rFonts w:cstheme="majorBidi"/>
          <w:color w:val="000000" w:themeColor="text1"/>
          <w:lang w:val="en-US"/>
        </w:rPr>
        <w:t xml:space="preserve"> </w:t>
      </w:r>
      <w:proofErr w:type="spellStart"/>
      <w:r w:rsidRPr="00343052">
        <w:rPr>
          <w:rFonts w:cstheme="majorBidi"/>
          <w:color w:val="000000" w:themeColor="text1"/>
          <w:lang w:val="en-US"/>
        </w:rPr>
        <w:t>Ez-zor</w:t>
      </w:r>
      <w:proofErr w:type="spellEnd"/>
      <w:r w:rsidRPr="00343052">
        <w:rPr>
          <w:rFonts w:cstheme="majorBidi"/>
          <w:color w:val="000000" w:themeColor="text1"/>
          <w:lang w:val="en-US"/>
        </w:rPr>
        <w:t xml:space="preserve">, </w:t>
      </w:r>
      <w:proofErr w:type="spellStart"/>
      <w:r w:rsidRPr="00343052">
        <w:rPr>
          <w:rFonts w:cstheme="majorBidi"/>
          <w:color w:val="000000" w:themeColor="text1"/>
          <w:lang w:val="en-US"/>
        </w:rPr>
        <w:t>Hasakeh</w:t>
      </w:r>
      <w:proofErr w:type="spellEnd"/>
      <w:r w:rsidRPr="00343052">
        <w:rPr>
          <w:rFonts w:cstheme="majorBidi"/>
          <w:color w:val="000000" w:themeColor="text1"/>
          <w:lang w:val="en-US"/>
        </w:rPr>
        <w:t xml:space="preserve">, </w:t>
      </w:r>
      <w:proofErr w:type="spellStart"/>
      <w:r w:rsidRPr="00343052">
        <w:rPr>
          <w:rFonts w:cstheme="majorBidi"/>
          <w:color w:val="000000" w:themeColor="text1"/>
          <w:lang w:val="en-US"/>
        </w:rPr>
        <w:t>Idleb</w:t>
      </w:r>
      <w:proofErr w:type="spellEnd"/>
      <w:r w:rsidRPr="00343052">
        <w:rPr>
          <w:rFonts w:cstheme="majorBidi"/>
          <w:color w:val="000000" w:themeColor="text1"/>
          <w:lang w:val="en-US"/>
        </w:rPr>
        <w:t xml:space="preserve">, </w:t>
      </w:r>
      <w:proofErr w:type="spellStart"/>
      <w:r w:rsidRPr="00343052">
        <w:rPr>
          <w:rFonts w:cstheme="majorBidi"/>
          <w:color w:val="000000" w:themeColor="text1"/>
          <w:lang w:val="en-US"/>
        </w:rPr>
        <w:t>Raqqa</w:t>
      </w:r>
      <w:proofErr w:type="spellEnd"/>
      <w:r w:rsidRPr="00343052">
        <w:rPr>
          <w:rFonts w:cstheme="majorBidi"/>
          <w:color w:val="000000" w:themeColor="text1"/>
          <w:lang w:val="en-US"/>
        </w:rPr>
        <w:t xml:space="preserve"> and Aleppo. Child </w:t>
      </w:r>
      <w:proofErr w:type="spellStart"/>
      <w:r w:rsidRPr="00343052">
        <w:rPr>
          <w:rFonts w:cstheme="majorBidi"/>
          <w:color w:val="000000" w:themeColor="text1"/>
          <w:lang w:val="en-US"/>
        </w:rPr>
        <w:t>labour</w:t>
      </w:r>
      <w:proofErr w:type="spellEnd"/>
      <w:r w:rsidRPr="00343052">
        <w:rPr>
          <w:rFonts w:cstheme="majorBidi"/>
          <w:color w:val="000000" w:themeColor="text1"/>
          <w:lang w:val="en-US"/>
        </w:rPr>
        <w:t xml:space="preserve"> was more prevalent in poor households</w:t>
      </w:r>
      <w:r w:rsidR="00D45AA2" w:rsidRPr="00343052">
        <w:rPr>
          <w:rFonts w:cstheme="majorBidi"/>
          <w:color w:val="000000" w:themeColor="text1"/>
        </w:rPr>
        <w:t>.</w:t>
      </w:r>
      <w:r w:rsidR="00D45AA2" w:rsidRPr="00343052">
        <w:rPr>
          <w:rStyle w:val="FootnoteReference"/>
          <w:rFonts w:cstheme="majorBidi"/>
          <w:color w:val="000000" w:themeColor="text1"/>
        </w:rPr>
        <w:footnoteReference w:id="65"/>
      </w:r>
      <w:r w:rsidR="00D45AA2" w:rsidRPr="00343052">
        <w:rPr>
          <w:rFonts w:cstheme="majorBidi"/>
          <w:color w:val="000000" w:themeColor="text1"/>
        </w:rPr>
        <w:t xml:space="preserve">  </w:t>
      </w:r>
    </w:p>
    <w:p w:rsidR="008557E8" w:rsidRPr="00343052" w:rsidRDefault="008557E8" w:rsidP="00D66F25">
      <w:pPr>
        <w:autoSpaceDE w:val="0"/>
        <w:autoSpaceDN w:val="0"/>
        <w:adjustRightInd w:val="0"/>
        <w:spacing w:after="0"/>
        <w:jc w:val="both"/>
        <w:rPr>
          <w:rFonts w:cstheme="majorBidi"/>
          <w:color w:val="000000" w:themeColor="text1"/>
        </w:rPr>
      </w:pPr>
    </w:p>
    <w:p w:rsidR="00CA06A6" w:rsidRPr="00343052" w:rsidRDefault="00DF5A94" w:rsidP="000F0C01">
      <w:pPr>
        <w:autoSpaceDE w:val="0"/>
        <w:autoSpaceDN w:val="0"/>
        <w:adjustRightInd w:val="0"/>
        <w:spacing w:after="0"/>
        <w:jc w:val="both"/>
        <w:rPr>
          <w:rFonts w:cstheme="majorBidi"/>
          <w:color w:val="4F81BD" w:themeColor="accent1"/>
          <w:lang w:val="en-US"/>
        </w:rPr>
      </w:pPr>
      <w:r w:rsidRPr="00343052">
        <w:rPr>
          <w:rFonts w:cstheme="majorBidi"/>
          <w:color w:val="000000" w:themeColor="text1"/>
        </w:rPr>
        <w:t>In 2008 extreme poverty reached 17% of the Syrian population.</w:t>
      </w:r>
      <w:r w:rsidR="00E40EC6" w:rsidRPr="00343052">
        <w:rPr>
          <w:rFonts w:cstheme="majorBidi"/>
          <w:color w:val="000000" w:themeColor="text1"/>
        </w:rPr>
        <w:t xml:space="preserve"> </w:t>
      </w:r>
      <w:r w:rsidR="00F43264" w:rsidRPr="00343052">
        <w:rPr>
          <w:rFonts w:cstheme="majorBidi"/>
        </w:rPr>
        <w:t>Successive drought resulting in</w:t>
      </w:r>
      <w:r w:rsidRPr="00343052">
        <w:rPr>
          <w:rFonts w:cstheme="majorBidi"/>
        </w:rPr>
        <w:t xml:space="preserve"> consecutive harvest failure increased the level of poverty within households. </w:t>
      </w:r>
      <w:r w:rsidR="000F0C01" w:rsidRPr="00343052">
        <w:rPr>
          <w:rFonts w:cstheme="majorBidi"/>
        </w:rPr>
        <w:t>Some f</w:t>
      </w:r>
      <w:r w:rsidRPr="00343052">
        <w:rPr>
          <w:rFonts w:cstheme="majorBidi"/>
        </w:rPr>
        <w:t>amilies were force</w:t>
      </w:r>
      <w:r w:rsidR="00AC021C">
        <w:rPr>
          <w:rFonts w:cstheme="majorBidi"/>
        </w:rPr>
        <w:t>d</w:t>
      </w:r>
      <w:r w:rsidRPr="00343052">
        <w:rPr>
          <w:rFonts w:cstheme="majorBidi"/>
        </w:rPr>
        <w:t xml:space="preserve"> to </w:t>
      </w:r>
      <w:r w:rsidR="00D67C26" w:rsidRPr="00343052">
        <w:rPr>
          <w:rFonts w:cstheme="majorBidi"/>
        </w:rPr>
        <w:t>remove their</w:t>
      </w:r>
      <w:r w:rsidRPr="00343052">
        <w:rPr>
          <w:rFonts w:cstheme="majorBidi"/>
        </w:rPr>
        <w:t xml:space="preserve"> children from school to </w:t>
      </w:r>
      <w:r w:rsidR="00D67C26" w:rsidRPr="00343052">
        <w:rPr>
          <w:rFonts w:cstheme="majorBidi"/>
        </w:rPr>
        <w:t>support the household</w:t>
      </w:r>
      <w:r w:rsidRPr="00343052">
        <w:rPr>
          <w:rFonts w:cstheme="majorBidi"/>
        </w:rPr>
        <w:t>.</w:t>
      </w:r>
      <w:r w:rsidR="007D02E2" w:rsidRPr="00343052">
        <w:rPr>
          <w:rStyle w:val="FootnoteReference"/>
          <w:rFonts w:cstheme="majorBidi"/>
          <w:color w:val="000000" w:themeColor="text1"/>
        </w:rPr>
        <w:t xml:space="preserve"> </w:t>
      </w:r>
      <w:r w:rsidR="007D02E2" w:rsidRPr="00343052">
        <w:rPr>
          <w:rStyle w:val="FootnoteReference"/>
          <w:rFonts w:cstheme="majorBidi"/>
          <w:color w:val="000000" w:themeColor="text1"/>
        </w:rPr>
        <w:footnoteReference w:id="66"/>
      </w:r>
      <w:r w:rsidRPr="00343052">
        <w:rPr>
          <w:rFonts w:cstheme="majorBidi"/>
          <w:color w:val="4F81BD" w:themeColor="accent1"/>
        </w:rPr>
        <w:t xml:space="preserve"> </w:t>
      </w:r>
    </w:p>
    <w:p w:rsidR="004B5A57" w:rsidRPr="00343052" w:rsidRDefault="004B5A57" w:rsidP="00D66F25">
      <w:pPr>
        <w:contextualSpacing/>
        <w:jc w:val="both"/>
        <w:rPr>
          <w:rFonts w:cstheme="majorBidi"/>
        </w:rPr>
      </w:pPr>
    </w:p>
    <w:p w:rsidR="007D02E2" w:rsidRPr="00343052" w:rsidRDefault="00CC5E2D" w:rsidP="00AC021C">
      <w:pPr>
        <w:contextualSpacing/>
        <w:jc w:val="both"/>
        <w:rPr>
          <w:rFonts w:cstheme="majorBidi"/>
        </w:rPr>
      </w:pPr>
      <w:r w:rsidRPr="00343052">
        <w:rPr>
          <w:rFonts w:cstheme="majorBidi"/>
        </w:rPr>
        <w:lastRenderedPageBreak/>
        <w:t>Specific information on the worst forms of labour is limited.</w:t>
      </w:r>
      <w:r w:rsidRPr="00343052">
        <w:rPr>
          <w:rFonts w:cs="Times New Roman"/>
        </w:rPr>
        <w:t xml:space="preserve"> </w:t>
      </w:r>
      <w:r w:rsidR="00EB327A" w:rsidRPr="00343052">
        <w:rPr>
          <w:lang w:val="en"/>
        </w:rPr>
        <w:t xml:space="preserve">Anecdotal evidence suggests that some children </w:t>
      </w:r>
      <w:r w:rsidR="00AC021C">
        <w:rPr>
          <w:lang w:val="en"/>
        </w:rPr>
        <w:t>were</w:t>
      </w:r>
      <w:r w:rsidR="00AC021C" w:rsidRPr="00343052">
        <w:rPr>
          <w:lang w:val="en"/>
        </w:rPr>
        <w:t xml:space="preserve"> </w:t>
      </w:r>
      <w:r w:rsidR="00EB327A" w:rsidRPr="00343052">
        <w:rPr>
          <w:lang w:val="en"/>
        </w:rPr>
        <w:t>subjected to conditions of forced labor within the country, particularly by organized street begging rings.</w:t>
      </w:r>
      <w:r w:rsidR="00EB327A" w:rsidRPr="00343052">
        <w:rPr>
          <w:rStyle w:val="FootnoteReference"/>
          <w:lang w:val="en"/>
        </w:rPr>
        <w:footnoteReference w:id="67"/>
      </w:r>
      <w:r w:rsidR="00EB327A" w:rsidRPr="00343052">
        <w:rPr>
          <w:lang w:val="en"/>
        </w:rPr>
        <w:t xml:space="preserve"> </w:t>
      </w:r>
      <w:r w:rsidR="007D02E2" w:rsidRPr="00343052">
        <w:rPr>
          <w:rFonts w:cstheme="majorBidi"/>
          <w:lang w:val="en-US"/>
        </w:rPr>
        <w:t xml:space="preserve">Begging is considered a legal offence; beggars </w:t>
      </w:r>
      <w:r w:rsidR="00AC021C">
        <w:rPr>
          <w:rFonts w:cstheme="majorBidi"/>
          <w:lang w:val="en-US"/>
        </w:rPr>
        <w:t xml:space="preserve">could </w:t>
      </w:r>
      <w:proofErr w:type="gramStart"/>
      <w:r w:rsidR="00AC021C">
        <w:rPr>
          <w:rFonts w:cstheme="majorBidi"/>
          <w:lang w:val="en-US"/>
        </w:rPr>
        <w:t xml:space="preserve">be </w:t>
      </w:r>
      <w:r w:rsidR="007D02E2" w:rsidRPr="00343052">
        <w:rPr>
          <w:rFonts w:cstheme="majorBidi"/>
          <w:lang w:val="en-US"/>
        </w:rPr>
        <w:t xml:space="preserve"> arrested</w:t>
      </w:r>
      <w:proofErr w:type="gramEnd"/>
      <w:r w:rsidR="007D02E2" w:rsidRPr="00343052">
        <w:rPr>
          <w:rFonts w:cstheme="majorBidi"/>
          <w:lang w:val="en-US"/>
        </w:rPr>
        <w:t xml:space="preserve"> and placed in special </w:t>
      </w:r>
      <w:proofErr w:type="spellStart"/>
      <w:r w:rsidR="007D02E2" w:rsidRPr="00343052">
        <w:rPr>
          <w:rFonts w:cstheme="majorBidi"/>
          <w:lang w:val="en-US"/>
        </w:rPr>
        <w:t>centres</w:t>
      </w:r>
      <w:proofErr w:type="spellEnd"/>
      <w:r w:rsidR="007D02E2" w:rsidRPr="00343052">
        <w:rPr>
          <w:rFonts w:cstheme="majorBidi"/>
          <w:lang w:val="en-US"/>
        </w:rPr>
        <w:t>. These, however, do not provide them with basic services, proper rehabilitation support or means of protecting them from returning to the street after their release.</w:t>
      </w:r>
      <w:r w:rsidR="007D02E2" w:rsidRPr="00343052">
        <w:rPr>
          <w:rStyle w:val="FootnoteReference"/>
          <w:rFonts w:cstheme="majorBidi"/>
          <w:lang w:val="en-US"/>
        </w:rPr>
        <w:footnoteReference w:id="68"/>
      </w:r>
      <w:r w:rsidR="007D02E2" w:rsidRPr="00343052">
        <w:rPr>
          <w:rFonts w:cstheme="majorBidi"/>
          <w:lang w:val="en-US"/>
        </w:rPr>
        <w:t xml:space="preserve">  </w:t>
      </w:r>
      <w:r w:rsidR="00AC021C" w:rsidRPr="00343052">
        <w:rPr>
          <w:rFonts w:cs="Times New Roman"/>
          <w:lang w:val="en-US"/>
        </w:rPr>
        <w:t>The</w:t>
      </w:r>
      <w:r w:rsidRPr="00343052">
        <w:rPr>
          <w:rFonts w:cs="Times New Roman"/>
          <w:lang w:val="en-US"/>
        </w:rPr>
        <w:t xml:space="preserve"> number of girls involved in sex work </w:t>
      </w:r>
      <w:r w:rsidR="00C97A42">
        <w:rPr>
          <w:rFonts w:cs="Times New Roman"/>
          <w:lang w:val="en-US"/>
        </w:rPr>
        <w:t>was estimated</w:t>
      </w:r>
      <w:r w:rsidR="00AC021C">
        <w:rPr>
          <w:rFonts w:cs="Times New Roman"/>
          <w:lang w:val="en-US"/>
        </w:rPr>
        <w:t xml:space="preserve"> to be </w:t>
      </w:r>
      <w:r w:rsidRPr="00343052">
        <w:rPr>
          <w:rFonts w:cs="Times New Roman"/>
          <w:lang w:val="en-US"/>
        </w:rPr>
        <w:t xml:space="preserve">in the thousands. A 2004 UNFPA survey of sex workers found that more than half of them started work before the age of 18, with poverty being the main reason as many sex workers support several dependents. </w:t>
      </w:r>
      <w:r w:rsidRPr="00343052">
        <w:rPr>
          <w:rFonts w:cstheme="majorBidi"/>
        </w:rPr>
        <w:t>A study on commercial sexual exploitation was initiated by Syrian Commission of Family Affairs in Damascus and Aleppo, but to date there is no information available regarding the findings of this study.</w:t>
      </w:r>
      <w:r w:rsidR="002C48FB" w:rsidRPr="00343052">
        <w:rPr>
          <w:rStyle w:val="FootnoteReference"/>
          <w:rFonts w:cstheme="majorBidi"/>
        </w:rPr>
        <w:footnoteReference w:id="69"/>
      </w:r>
      <w:r w:rsidRPr="00343052">
        <w:rPr>
          <w:rFonts w:cstheme="majorBidi"/>
        </w:rPr>
        <w:t xml:space="preserve"> </w:t>
      </w:r>
    </w:p>
    <w:p w:rsidR="00EB327A" w:rsidRPr="00343052" w:rsidRDefault="00EB327A">
      <w:pPr>
        <w:pStyle w:val="NormalWeb"/>
        <w:jc w:val="both"/>
        <w:rPr>
          <w:rFonts w:asciiTheme="minorHAnsi" w:hAnsiTheme="minorHAnsi"/>
          <w:sz w:val="22"/>
          <w:szCs w:val="22"/>
          <w:lang w:val="en"/>
        </w:rPr>
      </w:pPr>
      <w:r w:rsidRPr="00343052">
        <w:rPr>
          <w:rFonts w:asciiTheme="minorHAnsi" w:hAnsiTheme="minorHAnsi"/>
          <w:sz w:val="22"/>
          <w:szCs w:val="22"/>
          <w:lang w:val="en"/>
        </w:rPr>
        <w:t xml:space="preserve">Prior to the </w:t>
      </w:r>
      <w:r w:rsidR="00AC021C">
        <w:rPr>
          <w:rFonts w:asciiTheme="minorHAnsi" w:hAnsiTheme="minorHAnsi"/>
          <w:sz w:val="22"/>
          <w:szCs w:val="22"/>
          <w:lang w:val="en"/>
        </w:rPr>
        <w:t>conflict</w:t>
      </w:r>
      <w:r w:rsidRPr="00343052">
        <w:rPr>
          <w:rFonts w:asciiTheme="minorHAnsi" w:hAnsiTheme="minorHAnsi"/>
          <w:sz w:val="22"/>
          <w:szCs w:val="22"/>
          <w:lang w:val="en"/>
        </w:rPr>
        <w:t xml:space="preserve">, Syria was principally a destination country for children subjected to forced labor or sex trafficking. </w:t>
      </w:r>
      <w:r w:rsidR="00AC021C">
        <w:rPr>
          <w:rFonts w:asciiTheme="minorHAnsi" w:hAnsiTheme="minorHAnsi"/>
          <w:sz w:val="22"/>
          <w:szCs w:val="22"/>
          <w:lang w:val="en"/>
        </w:rPr>
        <w:t xml:space="preserve">There were some reports </w:t>
      </w:r>
      <w:proofErr w:type="gramStart"/>
      <w:r w:rsidR="00AC021C">
        <w:rPr>
          <w:rFonts w:asciiTheme="minorHAnsi" w:hAnsiTheme="minorHAnsi"/>
          <w:sz w:val="22"/>
          <w:szCs w:val="22"/>
          <w:lang w:val="en"/>
        </w:rPr>
        <w:t xml:space="preserve">of </w:t>
      </w:r>
      <w:r w:rsidRPr="00343052">
        <w:rPr>
          <w:rFonts w:asciiTheme="minorHAnsi" w:hAnsiTheme="minorHAnsi"/>
          <w:sz w:val="22"/>
          <w:szCs w:val="22"/>
          <w:lang w:val="en"/>
        </w:rPr>
        <w:t xml:space="preserve"> Iraqi</w:t>
      </w:r>
      <w:proofErr w:type="gramEnd"/>
      <w:r w:rsidRPr="00343052">
        <w:rPr>
          <w:rFonts w:asciiTheme="minorHAnsi" w:hAnsiTheme="minorHAnsi"/>
          <w:sz w:val="22"/>
          <w:szCs w:val="22"/>
          <w:lang w:val="en"/>
        </w:rPr>
        <w:t xml:space="preserve"> refugees contract</w:t>
      </w:r>
      <w:r w:rsidR="00AC021C">
        <w:rPr>
          <w:rFonts w:asciiTheme="minorHAnsi" w:hAnsiTheme="minorHAnsi"/>
          <w:sz w:val="22"/>
          <w:szCs w:val="22"/>
          <w:lang w:val="en"/>
        </w:rPr>
        <w:t>ing</w:t>
      </w:r>
      <w:r w:rsidRPr="00343052">
        <w:rPr>
          <w:rFonts w:asciiTheme="minorHAnsi" w:hAnsiTheme="minorHAnsi"/>
          <w:sz w:val="22"/>
          <w:szCs w:val="22"/>
          <w:lang w:val="en"/>
        </w:rPr>
        <w:t xml:space="preserve"> their daughters to work as maids in Syrian households, where </w:t>
      </w:r>
      <w:r w:rsidR="00AC021C">
        <w:rPr>
          <w:rFonts w:asciiTheme="minorHAnsi" w:hAnsiTheme="minorHAnsi"/>
          <w:sz w:val="22"/>
          <w:szCs w:val="22"/>
          <w:lang w:val="en"/>
        </w:rPr>
        <w:t xml:space="preserve">some girls were exposed to </w:t>
      </w:r>
      <w:r w:rsidRPr="00343052">
        <w:rPr>
          <w:rFonts w:asciiTheme="minorHAnsi" w:hAnsiTheme="minorHAnsi"/>
          <w:sz w:val="22"/>
          <w:szCs w:val="22"/>
          <w:lang w:val="en"/>
        </w:rPr>
        <w:t xml:space="preserve">rape, </w:t>
      </w:r>
      <w:r w:rsidR="00C97A42">
        <w:rPr>
          <w:rFonts w:asciiTheme="minorHAnsi" w:hAnsiTheme="minorHAnsi"/>
          <w:sz w:val="22"/>
          <w:szCs w:val="22"/>
          <w:lang w:val="en"/>
        </w:rPr>
        <w:t xml:space="preserve">prostitution and </w:t>
      </w:r>
      <w:r w:rsidRPr="00343052">
        <w:rPr>
          <w:rFonts w:asciiTheme="minorHAnsi" w:hAnsiTheme="minorHAnsi"/>
          <w:sz w:val="22"/>
          <w:szCs w:val="22"/>
          <w:lang w:val="en"/>
        </w:rPr>
        <w:t xml:space="preserve">forced labor. </w:t>
      </w:r>
      <w:r w:rsidR="00AC021C">
        <w:rPr>
          <w:rFonts w:asciiTheme="minorHAnsi" w:hAnsiTheme="minorHAnsi"/>
          <w:sz w:val="22"/>
          <w:szCs w:val="22"/>
          <w:lang w:val="en"/>
        </w:rPr>
        <w:t>There were also reports of t</w:t>
      </w:r>
      <w:r w:rsidRPr="00343052">
        <w:rPr>
          <w:rFonts w:asciiTheme="minorHAnsi" w:hAnsiTheme="minorHAnsi"/>
          <w:sz w:val="22"/>
          <w:szCs w:val="22"/>
          <w:lang w:val="en"/>
        </w:rPr>
        <w:t>raffickers prey</w:t>
      </w:r>
      <w:r w:rsidR="00AC021C">
        <w:rPr>
          <w:rFonts w:asciiTheme="minorHAnsi" w:hAnsiTheme="minorHAnsi"/>
          <w:sz w:val="22"/>
          <w:szCs w:val="22"/>
          <w:lang w:val="en"/>
        </w:rPr>
        <w:t>ing</w:t>
      </w:r>
      <w:r w:rsidRPr="00343052">
        <w:rPr>
          <w:rFonts w:asciiTheme="minorHAnsi" w:hAnsiTheme="minorHAnsi"/>
          <w:sz w:val="22"/>
          <w:szCs w:val="22"/>
          <w:lang w:val="en"/>
        </w:rPr>
        <w:t xml:space="preserve"> on </w:t>
      </w:r>
      <w:r w:rsidR="00AC021C">
        <w:rPr>
          <w:rFonts w:asciiTheme="minorHAnsi" w:hAnsiTheme="minorHAnsi"/>
          <w:sz w:val="22"/>
          <w:szCs w:val="22"/>
          <w:lang w:val="en"/>
        </w:rPr>
        <w:t xml:space="preserve">the </w:t>
      </w:r>
      <w:r w:rsidRPr="00343052">
        <w:rPr>
          <w:rFonts w:asciiTheme="minorHAnsi" w:hAnsiTheme="minorHAnsi"/>
          <w:sz w:val="22"/>
          <w:szCs w:val="22"/>
          <w:lang w:val="en"/>
        </w:rPr>
        <w:t>Iraqi refugee population, with some Iraqi girls sent to work in nightclubs, placed into temporary "marriages" to men for the purpose of prostitution, or sold to pimps.</w:t>
      </w:r>
      <w:r w:rsidR="00AC021C">
        <w:rPr>
          <w:rFonts w:asciiTheme="minorHAnsi" w:hAnsiTheme="minorHAnsi"/>
          <w:sz w:val="22"/>
          <w:szCs w:val="22"/>
          <w:lang w:val="en"/>
        </w:rPr>
        <w:t xml:space="preserve"> </w:t>
      </w:r>
      <w:r w:rsidRPr="00343052">
        <w:rPr>
          <w:rFonts w:asciiTheme="minorHAnsi" w:hAnsiTheme="minorHAnsi"/>
          <w:sz w:val="22"/>
          <w:szCs w:val="22"/>
          <w:lang w:val="en"/>
        </w:rPr>
        <w:t xml:space="preserve">Syria has been a transit country for Iraqi girls, as well as Southeast Asians and East Africans who have been subjected to conditions of forced prostitution in Europe, Saudi Arabia, Kuwait, United Arab Emirates, and Lebanon. Small numbers of Syrian girls </w:t>
      </w:r>
      <w:r w:rsidR="00AC021C">
        <w:rPr>
          <w:rFonts w:asciiTheme="minorHAnsi" w:hAnsiTheme="minorHAnsi"/>
          <w:sz w:val="22"/>
          <w:szCs w:val="22"/>
          <w:lang w:val="en"/>
        </w:rPr>
        <w:t xml:space="preserve">were </w:t>
      </w:r>
      <w:r w:rsidRPr="00343052">
        <w:rPr>
          <w:rFonts w:asciiTheme="minorHAnsi" w:hAnsiTheme="minorHAnsi"/>
          <w:sz w:val="22"/>
          <w:szCs w:val="22"/>
          <w:lang w:val="en"/>
        </w:rPr>
        <w:t>reportedly brought to Lebanon for the purpose of prostitution, including through the guise of early marriage.</w:t>
      </w:r>
      <w:r w:rsidRPr="00343052">
        <w:rPr>
          <w:rStyle w:val="FootnoteReference"/>
          <w:rFonts w:asciiTheme="minorHAnsi" w:hAnsiTheme="minorHAnsi"/>
          <w:sz w:val="22"/>
          <w:szCs w:val="22"/>
          <w:lang w:val="en"/>
        </w:rPr>
        <w:footnoteReference w:id="70"/>
      </w:r>
      <w:r w:rsidRPr="00343052">
        <w:rPr>
          <w:rFonts w:asciiTheme="minorHAnsi" w:hAnsiTheme="minorHAnsi"/>
          <w:sz w:val="22"/>
          <w:szCs w:val="22"/>
          <w:lang w:val="en"/>
        </w:rPr>
        <w:t xml:space="preserve"> </w:t>
      </w:r>
    </w:p>
    <w:p w:rsidR="008826BA" w:rsidRPr="00343052" w:rsidRDefault="008826BA" w:rsidP="00D66F25">
      <w:pPr>
        <w:pStyle w:val="DeskReview2"/>
        <w:numPr>
          <w:ilvl w:val="1"/>
          <w:numId w:val="38"/>
        </w:numPr>
        <w:spacing w:line="276" w:lineRule="auto"/>
        <w:jc w:val="both"/>
        <w:outlineLvl w:val="2"/>
        <w:rPr>
          <w:rFonts w:asciiTheme="minorHAnsi" w:hAnsiTheme="minorHAnsi" w:cstheme="majorBidi"/>
          <w:bCs/>
          <w:color w:val="1F497D" w:themeColor="text2"/>
          <w:sz w:val="22"/>
          <w:szCs w:val="22"/>
        </w:rPr>
      </w:pPr>
      <w:bookmarkStart w:id="14" w:name="_Toc358663764"/>
      <w:bookmarkStart w:id="15" w:name="_Toc367720285"/>
      <w:r w:rsidRPr="00343052">
        <w:rPr>
          <w:rFonts w:asciiTheme="minorHAnsi" w:hAnsiTheme="minorHAnsi" w:cstheme="majorBidi"/>
          <w:bCs/>
          <w:color w:val="1F497D" w:themeColor="text2"/>
          <w:sz w:val="22"/>
          <w:szCs w:val="22"/>
        </w:rPr>
        <w:t>Understanding of the since the onset of the conflict</w:t>
      </w:r>
      <w:bookmarkEnd w:id="14"/>
      <w:bookmarkEnd w:id="15"/>
    </w:p>
    <w:p w:rsidR="004528D3" w:rsidRPr="00343052" w:rsidRDefault="008A187A" w:rsidP="00D66F25">
      <w:pPr>
        <w:pStyle w:val="Default"/>
        <w:spacing w:line="276" w:lineRule="auto"/>
        <w:jc w:val="both"/>
        <w:rPr>
          <w:rFonts w:asciiTheme="minorHAnsi" w:hAnsiTheme="minorHAnsi" w:cstheme="majorBidi"/>
          <w:color w:val="auto"/>
          <w:sz w:val="22"/>
          <w:szCs w:val="22"/>
          <w:lang w:val="en-GB"/>
        </w:rPr>
      </w:pPr>
      <w:r w:rsidRPr="00343052">
        <w:rPr>
          <w:rFonts w:asciiTheme="minorHAnsi" w:hAnsiTheme="minorHAnsi" w:cstheme="majorBidi"/>
          <w:color w:val="auto"/>
          <w:sz w:val="22"/>
          <w:szCs w:val="22"/>
          <w:lang w:val="en-GB"/>
        </w:rPr>
        <w:t>An assessment of northern Syria described c</w:t>
      </w:r>
      <w:r w:rsidR="008826BA" w:rsidRPr="00343052">
        <w:rPr>
          <w:rFonts w:asciiTheme="minorHAnsi" w:hAnsiTheme="minorHAnsi" w:cstheme="majorBidi"/>
          <w:color w:val="auto"/>
          <w:sz w:val="22"/>
          <w:szCs w:val="22"/>
          <w:lang w:val="en-GB"/>
        </w:rPr>
        <w:t xml:space="preserve">hild labour </w:t>
      </w:r>
      <w:r w:rsidRPr="00343052">
        <w:rPr>
          <w:rFonts w:asciiTheme="minorHAnsi" w:hAnsiTheme="minorHAnsi" w:cstheme="majorBidi"/>
          <w:color w:val="auto"/>
          <w:sz w:val="22"/>
          <w:szCs w:val="22"/>
          <w:lang w:val="en-GB"/>
        </w:rPr>
        <w:t xml:space="preserve">as a </w:t>
      </w:r>
      <w:r w:rsidR="008826BA" w:rsidRPr="00343052">
        <w:rPr>
          <w:rFonts w:asciiTheme="minorHAnsi" w:hAnsiTheme="minorHAnsi" w:cstheme="majorBidi"/>
          <w:color w:val="auto"/>
          <w:sz w:val="22"/>
          <w:szCs w:val="22"/>
          <w:lang w:val="en-GB"/>
        </w:rPr>
        <w:t>major protection concern. I</w:t>
      </w:r>
      <w:r w:rsidRPr="00343052">
        <w:rPr>
          <w:rFonts w:asciiTheme="minorHAnsi" w:hAnsiTheme="minorHAnsi" w:cstheme="majorBidi"/>
          <w:color w:val="auto"/>
          <w:sz w:val="22"/>
          <w:szCs w:val="22"/>
          <w:lang w:val="en-GB"/>
        </w:rPr>
        <w:t>t found children in</w:t>
      </w:r>
      <w:r w:rsidR="008826BA" w:rsidRPr="00343052">
        <w:rPr>
          <w:rFonts w:asciiTheme="minorHAnsi" w:hAnsiTheme="minorHAnsi" w:cstheme="majorBidi"/>
          <w:color w:val="auto"/>
          <w:sz w:val="22"/>
          <w:szCs w:val="22"/>
          <w:lang w:val="en-GB"/>
        </w:rPr>
        <w:t xml:space="preserve"> IDP camps, as well as in host communities, selling cigarettes, biscuits, tissues and vegetables in the streets, </w:t>
      </w:r>
      <w:r w:rsidRPr="00343052">
        <w:rPr>
          <w:rFonts w:asciiTheme="minorHAnsi" w:hAnsiTheme="minorHAnsi" w:cstheme="majorBidi"/>
          <w:color w:val="auto"/>
          <w:sz w:val="22"/>
          <w:szCs w:val="22"/>
          <w:lang w:val="en-GB"/>
        </w:rPr>
        <w:t xml:space="preserve">and other children </w:t>
      </w:r>
      <w:r w:rsidR="008826BA" w:rsidRPr="00343052">
        <w:rPr>
          <w:rFonts w:asciiTheme="minorHAnsi" w:hAnsiTheme="minorHAnsi" w:cstheme="majorBidi"/>
          <w:color w:val="auto"/>
          <w:sz w:val="22"/>
          <w:szCs w:val="22"/>
          <w:lang w:val="en-GB"/>
        </w:rPr>
        <w:t xml:space="preserve">transforming oil into benzene through a dangerous manual process and selling it and other goods illegally across the border. </w:t>
      </w:r>
      <w:r w:rsidRPr="00343052">
        <w:rPr>
          <w:rFonts w:asciiTheme="minorHAnsi" w:hAnsiTheme="minorHAnsi" w:cstheme="majorBidi"/>
          <w:color w:val="auto"/>
          <w:sz w:val="22"/>
          <w:szCs w:val="22"/>
          <w:lang w:val="en-GB"/>
        </w:rPr>
        <w:t xml:space="preserve">However the scope of the issue was deemed limited. In </w:t>
      </w:r>
      <w:proofErr w:type="spellStart"/>
      <w:r w:rsidRPr="00343052">
        <w:rPr>
          <w:rFonts w:asciiTheme="minorHAnsi" w:hAnsiTheme="minorHAnsi" w:cstheme="majorBidi"/>
          <w:color w:val="auto"/>
          <w:sz w:val="22"/>
          <w:szCs w:val="22"/>
          <w:lang w:val="en-GB"/>
        </w:rPr>
        <w:t>Ashara</w:t>
      </w:r>
      <w:proofErr w:type="spellEnd"/>
      <w:r w:rsidRPr="00343052">
        <w:rPr>
          <w:rFonts w:asciiTheme="minorHAnsi" w:hAnsiTheme="minorHAnsi" w:cstheme="majorBidi"/>
          <w:color w:val="auto"/>
          <w:sz w:val="22"/>
          <w:szCs w:val="22"/>
          <w:lang w:val="en-GB"/>
        </w:rPr>
        <w:t xml:space="preserve"> (</w:t>
      </w:r>
      <w:proofErr w:type="spellStart"/>
      <w:r w:rsidRPr="00343052">
        <w:rPr>
          <w:rFonts w:asciiTheme="minorHAnsi" w:hAnsiTheme="minorHAnsi" w:cstheme="majorBidi"/>
          <w:color w:val="auto"/>
          <w:sz w:val="22"/>
          <w:szCs w:val="22"/>
          <w:lang w:val="en-GB"/>
        </w:rPr>
        <w:t>Deir</w:t>
      </w:r>
      <w:proofErr w:type="spellEnd"/>
      <w:r w:rsidRPr="00343052">
        <w:rPr>
          <w:rFonts w:asciiTheme="minorHAnsi" w:hAnsiTheme="minorHAnsi" w:cstheme="majorBidi"/>
          <w:color w:val="auto"/>
          <w:sz w:val="22"/>
          <w:szCs w:val="22"/>
          <w:lang w:val="en-GB"/>
        </w:rPr>
        <w:t xml:space="preserve"> </w:t>
      </w:r>
      <w:proofErr w:type="spellStart"/>
      <w:r w:rsidRPr="00343052">
        <w:rPr>
          <w:rFonts w:asciiTheme="minorHAnsi" w:hAnsiTheme="minorHAnsi" w:cstheme="majorBidi"/>
          <w:color w:val="auto"/>
          <w:sz w:val="22"/>
          <w:szCs w:val="22"/>
          <w:lang w:val="en-GB"/>
        </w:rPr>
        <w:t>ez-Zor</w:t>
      </w:r>
      <w:proofErr w:type="spellEnd"/>
      <w:r w:rsidRPr="00343052">
        <w:rPr>
          <w:rFonts w:asciiTheme="minorHAnsi" w:hAnsiTheme="minorHAnsi" w:cstheme="majorBidi"/>
          <w:color w:val="auto"/>
          <w:sz w:val="22"/>
          <w:szCs w:val="22"/>
          <w:lang w:val="en-GB"/>
        </w:rPr>
        <w:t xml:space="preserve"> governorate) most of the children who are not going to school were reported to work in filtering crude oil and </w:t>
      </w:r>
      <w:r w:rsidR="008557E8" w:rsidRPr="00343052">
        <w:rPr>
          <w:rFonts w:asciiTheme="minorHAnsi" w:hAnsiTheme="minorHAnsi" w:cstheme="majorBidi"/>
          <w:color w:val="auto"/>
          <w:sz w:val="22"/>
          <w:szCs w:val="22"/>
          <w:lang w:val="en-GB"/>
        </w:rPr>
        <w:t xml:space="preserve">operating </w:t>
      </w:r>
      <w:r w:rsidRPr="00343052">
        <w:rPr>
          <w:rFonts w:asciiTheme="minorHAnsi" w:hAnsiTheme="minorHAnsi" w:cstheme="majorBidi"/>
          <w:color w:val="auto"/>
          <w:sz w:val="22"/>
          <w:szCs w:val="22"/>
          <w:lang w:val="en-GB"/>
        </w:rPr>
        <w:t xml:space="preserve">generators. </w:t>
      </w:r>
      <w:r w:rsidR="004528D3" w:rsidRPr="00343052">
        <w:rPr>
          <w:rFonts w:asciiTheme="minorHAnsi" w:hAnsiTheme="minorHAnsi" w:cstheme="majorBidi"/>
          <w:color w:val="auto"/>
          <w:sz w:val="22"/>
          <w:szCs w:val="22"/>
          <w:lang w:val="en-GB"/>
        </w:rPr>
        <w:t xml:space="preserve">High percentages of children engaging in child labour, such as trade, were also reported from </w:t>
      </w:r>
      <w:proofErr w:type="spellStart"/>
      <w:r w:rsidR="004528D3" w:rsidRPr="00343052">
        <w:rPr>
          <w:rFonts w:asciiTheme="minorHAnsi" w:hAnsiTheme="minorHAnsi" w:cstheme="majorBidi"/>
          <w:color w:val="auto"/>
          <w:sz w:val="22"/>
          <w:szCs w:val="22"/>
          <w:lang w:val="en-GB"/>
        </w:rPr>
        <w:t>Menbij</w:t>
      </w:r>
      <w:proofErr w:type="spellEnd"/>
      <w:r w:rsidR="004528D3" w:rsidRPr="00343052">
        <w:rPr>
          <w:rFonts w:asciiTheme="minorHAnsi" w:hAnsiTheme="minorHAnsi" w:cstheme="majorBidi"/>
          <w:color w:val="auto"/>
          <w:sz w:val="22"/>
          <w:szCs w:val="22"/>
          <w:lang w:val="en-GB"/>
        </w:rPr>
        <w:t xml:space="preserve"> </w:t>
      </w:r>
      <w:r w:rsidR="00765FB7" w:rsidRPr="00343052">
        <w:rPr>
          <w:rFonts w:asciiTheme="minorHAnsi" w:hAnsiTheme="minorHAnsi" w:cstheme="majorBidi"/>
          <w:color w:val="auto"/>
          <w:sz w:val="22"/>
          <w:szCs w:val="22"/>
          <w:lang w:val="en-GB"/>
        </w:rPr>
        <w:t>(Aleppo governorate) and i</w:t>
      </w:r>
      <w:r w:rsidR="004528D3" w:rsidRPr="00343052">
        <w:rPr>
          <w:rFonts w:asciiTheme="minorHAnsi" w:hAnsiTheme="minorHAnsi" w:cstheme="majorBidi"/>
          <w:color w:val="auto"/>
          <w:sz w:val="22"/>
          <w:szCs w:val="22"/>
          <w:lang w:val="en-GB"/>
        </w:rPr>
        <w:t xml:space="preserve">n </w:t>
      </w:r>
      <w:proofErr w:type="spellStart"/>
      <w:r w:rsidR="004528D3" w:rsidRPr="00343052">
        <w:rPr>
          <w:rFonts w:asciiTheme="minorHAnsi" w:hAnsiTheme="minorHAnsi" w:cstheme="majorBidi"/>
          <w:color w:val="auto"/>
          <w:sz w:val="22"/>
          <w:szCs w:val="22"/>
          <w:lang w:val="en-GB"/>
        </w:rPr>
        <w:t>Maaret</w:t>
      </w:r>
      <w:proofErr w:type="spellEnd"/>
      <w:r w:rsidR="004528D3" w:rsidRPr="00343052">
        <w:rPr>
          <w:rFonts w:asciiTheme="minorHAnsi" w:hAnsiTheme="minorHAnsi" w:cstheme="majorBidi"/>
          <w:color w:val="auto"/>
          <w:sz w:val="22"/>
          <w:szCs w:val="22"/>
          <w:lang w:val="en-GB"/>
        </w:rPr>
        <w:t xml:space="preserve"> </w:t>
      </w:r>
      <w:proofErr w:type="spellStart"/>
      <w:r w:rsidR="004528D3" w:rsidRPr="00343052">
        <w:rPr>
          <w:rFonts w:asciiTheme="minorHAnsi" w:hAnsiTheme="minorHAnsi" w:cstheme="majorBidi"/>
          <w:color w:val="auto"/>
          <w:sz w:val="22"/>
          <w:szCs w:val="22"/>
          <w:lang w:val="en-GB"/>
        </w:rPr>
        <w:t>Tamsrin</w:t>
      </w:r>
      <w:proofErr w:type="spellEnd"/>
      <w:r w:rsidR="00765FB7" w:rsidRPr="00343052">
        <w:rPr>
          <w:rFonts w:asciiTheme="minorHAnsi" w:hAnsiTheme="minorHAnsi" w:cstheme="majorBidi"/>
          <w:color w:val="auto"/>
          <w:sz w:val="22"/>
          <w:szCs w:val="22"/>
          <w:lang w:val="en-GB"/>
        </w:rPr>
        <w:t xml:space="preserve"> (</w:t>
      </w:r>
      <w:proofErr w:type="spellStart"/>
      <w:r w:rsidR="008557E8" w:rsidRPr="00343052">
        <w:rPr>
          <w:rFonts w:asciiTheme="minorHAnsi" w:hAnsiTheme="minorHAnsi" w:cstheme="majorBidi"/>
          <w:color w:val="auto"/>
          <w:sz w:val="22"/>
          <w:szCs w:val="22"/>
          <w:lang w:val="en-GB"/>
        </w:rPr>
        <w:t>Idleb</w:t>
      </w:r>
      <w:proofErr w:type="spellEnd"/>
      <w:r w:rsidR="008557E8" w:rsidRPr="00343052">
        <w:rPr>
          <w:rFonts w:asciiTheme="minorHAnsi" w:hAnsiTheme="minorHAnsi" w:cstheme="majorBidi"/>
          <w:color w:val="auto"/>
          <w:sz w:val="22"/>
          <w:szCs w:val="22"/>
          <w:lang w:val="en-GB"/>
        </w:rPr>
        <w:t xml:space="preserve"> governorate</w:t>
      </w:r>
      <w:r w:rsidR="00765FB7" w:rsidRPr="00343052">
        <w:rPr>
          <w:rFonts w:asciiTheme="minorHAnsi" w:hAnsiTheme="minorHAnsi" w:cstheme="majorBidi"/>
          <w:color w:val="auto"/>
          <w:sz w:val="22"/>
          <w:szCs w:val="22"/>
          <w:lang w:val="en-GB"/>
        </w:rPr>
        <w:t>)</w:t>
      </w:r>
      <w:proofErr w:type="gramStart"/>
      <w:r w:rsidR="008557E8" w:rsidRPr="00343052">
        <w:rPr>
          <w:rFonts w:asciiTheme="minorHAnsi" w:hAnsiTheme="minorHAnsi" w:cstheme="majorBidi"/>
          <w:color w:val="auto"/>
          <w:sz w:val="22"/>
          <w:szCs w:val="22"/>
          <w:lang w:val="en-GB"/>
        </w:rPr>
        <w:t>,</w:t>
      </w:r>
      <w:proofErr w:type="gramEnd"/>
      <w:r w:rsidR="008557E8" w:rsidRPr="00343052">
        <w:rPr>
          <w:rFonts w:asciiTheme="minorHAnsi" w:hAnsiTheme="minorHAnsi" w:cstheme="majorBidi"/>
          <w:color w:val="auto"/>
          <w:sz w:val="22"/>
          <w:szCs w:val="22"/>
          <w:lang w:val="en-GB"/>
        </w:rPr>
        <w:t xml:space="preserve"> children were</w:t>
      </w:r>
      <w:r w:rsidR="004528D3" w:rsidRPr="00343052">
        <w:rPr>
          <w:rFonts w:asciiTheme="minorHAnsi" w:hAnsiTheme="minorHAnsi" w:cstheme="majorBidi"/>
          <w:color w:val="auto"/>
          <w:sz w:val="22"/>
          <w:szCs w:val="22"/>
          <w:lang w:val="en-GB"/>
        </w:rPr>
        <w:t xml:space="preserve"> reported to be begging in the streets.</w:t>
      </w:r>
      <w:r w:rsidR="00765FB7" w:rsidRPr="00343052">
        <w:rPr>
          <w:rStyle w:val="FootnoteReference"/>
          <w:rFonts w:asciiTheme="minorHAnsi" w:hAnsiTheme="minorHAnsi" w:cstheme="majorBidi"/>
          <w:color w:val="auto"/>
          <w:sz w:val="22"/>
          <w:szCs w:val="22"/>
          <w:lang w:val="en-GB"/>
        </w:rPr>
        <w:footnoteReference w:id="71"/>
      </w:r>
      <w:r w:rsidR="004528D3" w:rsidRPr="00343052">
        <w:rPr>
          <w:rFonts w:asciiTheme="minorHAnsi" w:hAnsiTheme="minorHAnsi" w:cstheme="majorBidi"/>
          <w:color w:val="auto"/>
          <w:sz w:val="22"/>
          <w:szCs w:val="22"/>
          <w:lang w:val="en-GB"/>
        </w:rPr>
        <w:t xml:space="preserve"> </w:t>
      </w:r>
    </w:p>
    <w:p w:rsidR="00294445" w:rsidRPr="00343052" w:rsidRDefault="00294445" w:rsidP="00D66F25">
      <w:pPr>
        <w:pStyle w:val="Default"/>
        <w:spacing w:line="276" w:lineRule="auto"/>
        <w:jc w:val="both"/>
        <w:rPr>
          <w:rFonts w:asciiTheme="minorHAnsi" w:hAnsiTheme="minorHAnsi" w:cstheme="majorBidi"/>
          <w:color w:val="auto"/>
          <w:sz w:val="22"/>
          <w:szCs w:val="22"/>
          <w:lang w:val="en-GB"/>
        </w:rPr>
      </w:pPr>
    </w:p>
    <w:p w:rsidR="003B218F" w:rsidRPr="00343052" w:rsidRDefault="003B218F" w:rsidP="00D66F25">
      <w:pPr>
        <w:pStyle w:val="Default"/>
        <w:spacing w:line="276" w:lineRule="auto"/>
        <w:jc w:val="both"/>
        <w:rPr>
          <w:rFonts w:asciiTheme="minorHAnsi" w:hAnsiTheme="minorHAnsi" w:cstheme="majorBidi"/>
          <w:color w:val="auto"/>
          <w:sz w:val="22"/>
          <w:szCs w:val="22"/>
          <w:lang w:val="en-GB"/>
        </w:rPr>
      </w:pPr>
    </w:p>
    <w:p w:rsidR="00CC345D" w:rsidRPr="00380A79" w:rsidRDefault="00CC345D" w:rsidP="008212D4">
      <w:pPr>
        <w:pStyle w:val="DeskReview2"/>
        <w:numPr>
          <w:ilvl w:val="0"/>
          <w:numId w:val="47"/>
        </w:numPr>
        <w:spacing w:line="276" w:lineRule="auto"/>
        <w:ind w:firstLine="0"/>
        <w:jc w:val="both"/>
        <w:outlineLvl w:val="0"/>
        <w:rPr>
          <w:rFonts w:asciiTheme="minorHAnsi" w:hAnsiTheme="minorHAnsi" w:cstheme="majorBidi"/>
          <w:bCs/>
          <w:i/>
          <w:iCs/>
          <w:color w:val="1F497D" w:themeColor="text2"/>
          <w:u w:val="single"/>
        </w:rPr>
      </w:pPr>
      <w:bookmarkStart w:id="16" w:name="_Toc367720286"/>
      <w:r w:rsidRPr="00380A79">
        <w:rPr>
          <w:rFonts w:asciiTheme="minorHAnsi" w:hAnsiTheme="minorHAnsi" w:cstheme="majorBidi"/>
          <w:bCs/>
          <w:i/>
          <w:iCs/>
          <w:color w:val="1F497D" w:themeColor="text2"/>
          <w:u w:val="single"/>
        </w:rPr>
        <w:t>Children associated with armed forces and groups</w:t>
      </w:r>
      <w:bookmarkEnd w:id="16"/>
    </w:p>
    <w:p w:rsidR="00CC345D" w:rsidRPr="00343052" w:rsidRDefault="00CC345D" w:rsidP="00D66F25">
      <w:pPr>
        <w:pStyle w:val="DeskReview2"/>
        <w:numPr>
          <w:ilvl w:val="1"/>
          <w:numId w:val="33"/>
        </w:numPr>
        <w:spacing w:line="276" w:lineRule="auto"/>
        <w:ind w:firstLine="0"/>
        <w:jc w:val="both"/>
        <w:outlineLvl w:val="1"/>
        <w:rPr>
          <w:rFonts w:asciiTheme="minorHAnsi" w:hAnsiTheme="minorHAnsi" w:cstheme="majorBidi"/>
          <w:bCs/>
          <w:color w:val="1F497D" w:themeColor="text2"/>
          <w:sz w:val="22"/>
          <w:szCs w:val="22"/>
        </w:rPr>
      </w:pPr>
      <w:bookmarkStart w:id="17" w:name="_Toc358663766"/>
      <w:bookmarkStart w:id="18" w:name="_Toc367720287"/>
      <w:r w:rsidRPr="00343052">
        <w:rPr>
          <w:rFonts w:asciiTheme="minorHAnsi" w:hAnsiTheme="minorHAnsi" w:cstheme="majorBidi"/>
          <w:bCs/>
          <w:color w:val="1F497D" w:themeColor="text2"/>
          <w:sz w:val="22"/>
          <w:szCs w:val="22"/>
        </w:rPr>
        <w:t>Understanding of the issue before the conflict</w:t>
      </w:r>
      <w:bookmarkEnd w:id="17"/>
      <w:bookmarkEnd w:id="18"/>
    </w:p>
    <w:p w:rsidR="0064079F" w:rsidRPr="00343052" w:rsidRDefault="0064079F" w:rsidP="00D66F25">
      <w:pPr>
        <w:jc w:val="both"/>
        <w:rPr>
          <w:rFonts w:cstheme="majorBidi"/>
        </w:rPr>
      </w:pPr>
      <w:r w:rsidRPr="00343052">
        <w:rPr>
          <w:rFonts w:cstheme="majorBidi"/>
        </w:rPr>
        <w:t>The Optional Protocol to the Convention on the Rights of the Child on the Involvemen</w:t>
      </w:r>
      <w:r w:rsidR="002B09A3" w:rsidRPr="00343052">
        <w:rPr>
          <w:rFonts w:cstheme="majorBidi"/>
        </w:rPr>
        <w:t>t of Children in Armed Conflict</w:t>
      </w:r>
      <w:r w:rsidRPr="00343052">
        <w:rPr>
          <w:rFonts w:cstheme="majorBidi"/>
        </w:rPr>
        <w:t xml:space="preserve"> </w:t>
      </w:r>
      <w:r w:rsidR="002B09A3" w:rsidRPr="00343052">
        <w:rPr>
          <w:rFonts w:cstheme="majorBidi"/>
        </w:rPr>
        <w:t>was</w:t>
      </w:r>
      <w:r w:rsidRPr="00343052">
        <w:rPr>
          <w:rFonts w:cstheme="majorBidi"/>
        </w:rPr>
        <w:t xml:space="preserve"> ratified by Syria on the 17 October 2003 through declaration, </w:t>
      </w:r>
      <w:r w:rsidR="002B09A3" w:rsidRPr="00343052">
        <w:rPr>
          <w:rFonts w:cstheme="majorBidi"/>
        </w:rPr>
        <w:t xml:space="preserve">and </w:t>
      </w:r>
      <w:r w:rsidRPr="00343052">
        <w:rPr>
          <w:rFonts w:cstheme="majorBidi"/>
        </w:rPr>
        <w:t xml:space="preserve">sets 18 as the minimum age for recruitment into Syrian National active armed forces and reservists. Prior to the conflict, there was no evidence of children being militarily engaged </w:t>
      </w:r>
    </w:p>
    <w:p w:rsidR="002C63E8" w:rsidRPr="00343052" w:rsidRDefault="002C63E8" w:rsidP="00D66F25">
      <w:pPr>
        <w:pStyle w:val="DeskReview2"/>
        <w:numPr>
          <w:ilvl w:val="0"/>
          <w:numId w:val="0"/>
        </w:numPr>
        <w:spacing w:line="276" w:lineRule="auto"/>
        <w:ind w:left="360"/>
        <w:jc w:val="both"/>
        <w:rPr>
          <w:rFonts w:asciiTheme="minorHAnsi" w:hAnsiTheme="minorHAnsi" w:cstheme="majorBidi"/>
          <w:b w:val="0"/>
          <w:i/>
          <w:iCs/>
          <w:color w:val="1F497D" w:themeColor="text2"/>
          <w:sz w:val="22"/>
          <w:szCs w:val="22"/>
        </w:rPr>
      </w:pPr>
    </w:p>
    <w:p w:rsidR="00CC345D" w:rsidRPr="00343052" w:rsidRDefault="00CC345D" w:rsidP="00D66F25">
      <w:pPr>
        <w:pStyle w:val="DeskReview2"/>
        <w:numPr>
          <w:ilvl w:val="1"/>
          <w:numId w:val="33"/>
        </w:numPr>
        <w:spacing w:line="276" w:lineRule="auto"/>
        <w:ind w:firstLine="0"/>
        <w:jc w:val="both"/>
        <w:outlineLvl w:val="2"/>
        <w:rPr>
          <w:rFonts w:asciiTheme="minorHAnsi" w:hAnsiTheme="minorHAnsi" w:cstheme="majorBidi"/>
          <w:b w:val="0"/>
          <w:i/>
          <w:iCs/>
          <w:color w:val="1F497D" w:themeColor="text2"/>
          <w:sz w:val="22"/>
          <w:szCs w:val="22"/>
        </w:rPr>
      </w:pPr>
      <w:bookmarkStart w:id="19" w:name="_Toc358663767"/>
      <w:bookmarkStart w:id="20" w:name="_Toc367720288"/>
      <w:r w:rsidRPr="00343052">
        <w:rPr>
          <w:rFonts w:asciiTheme="minorHAnsi" w:hAnsiTheme="minorHAnsi" w:cstheme="majorBidi"/>
          <w:bCs/>
          <w:color w:val="1F497D" w:themeColor="text2"/>
          <w:sz w:val="22"/>
          <w:szCs w:val="22"/>
        </w:rPr>
        <w:lastRenderedPageBreak/>
        <w:t>Understanding of the issue since the onset of the conflict</w:t>
      </w:r>
      <w:bookmarkEnd w:id="19"/>
      <w:bookmarkEnd w:id="20"/>
    </w:p>
    <w:p w:rsidR="00EC5018" w:rsidRPr="00343052" w:rsidRDefault="00096701" w:rsidP="007F5FAC">
      <w:pPr>
        <w:autoSpaceDE w:val="0"/>
        <w:autoSpaceDN w:val="0"/>
        <w:adjustRightInd w:val="0"/>
        <w:spacing w:after="0"/>
        <w:jc w:val="both"/>
        <w:rPr>
          <w:rFonts w:cstheme="majorBidi"/>
          <w:lang w:val="en-US"/>
        </w:rPr>
      </w:pPr>
      <w:r w:rsidRPr="00343052">
        <w:rPr>
          <w:rFonts w:cstheme="majorBidi"/>
        </w:rPr>
        <w:t>The Commission</w:t>
      </w:r>
      <w:r w:rsidR="00EC5018" w:rsidRPr="00343052">
        <w:rPr>
          <w:rFonts w:cstheme="majorBidi"/>
        </w:rPr>
        <w:t xml:space="preserve"> of Inquiry</w:t>
      </w:r>
      <w:r w:rsidRPr="00343052">
        <w:rPr>
          <w:rFonts w:cstheme="majorBidi"/>
        </w:rPr>
        <w:t xml:space="preserve"> reported that </w:t>
      </w:r>
      <w:r w:rsidR="00EC5018" w:rsidRPr="00343052">
        <w:rPr>
          <w:rFonts w:cstheme="majorBidi"/>
          <w:lang w:val="en-US"/>
        </w:rPr>
        <w:t>official</w:t>
      </w:r>
      <w:r w:rsidRPr="00343052">
        <w:rPr>
          <w:rFonts w:cstheme="majorBidi"/>
          <w:lang w:val="en-US"/>
        </w:rPr>
        <w:t xml:space="preserve"> Syrian conscription systems are disintegrating. Children under 18 years of age are seized at checkpoints, and Government-affiliated militia use sectarian affiliation, kinship systems and cash to fill their ranks. These methods may have led to the recruitment of underage soldiers.</w:t>
      </w:r>
      <w:r w:rsidR="005F3EF7" w:rsidRPr="00343052">
        <w:rPr>
          <w:rStyle w:val="FootnoteReference"/>
          <w:rFonts w:cstheme="majorBidi"/>
          <w:lang w:val="en-US"/>
        </w:rPr>
        <w:footnoteReference w:id="72"/>
      </w:r>
      <w:r w:rsidR="00111F99" w:rsidRPr="00343052">
        <w:rPr>
          <w:rFonts w:cstheme="majorBidi"/>
          <w:lang w:val="en-US"/>
        </w:rPr>
        <w:t xml:space="preserve"> </w:t>
      </w:r>
      <w:r w:rsidR="00EC5018" w:rsidRPr="00343052">
        <w:rPr>
          <w:rFonts w:cstheme="majorBidi"/>
          <w:lang w:val="en-US"/>
        </w:rPr>
        <w:t xml:space="preserve"> Some a</w:t>
      </w:r>
      <w:r w:rsidR="00111F99" w:rsidRPr="00343052">
        <w:rPr>
          <w:rFonts w:cstheme="majorBidi"/>
          <w:lang w:val="en-US"/>
        </w:rPr>
        <w:t xml:space="preserve">nti-Government armed groups </w:t>
      </w:r>
      <w:r w:rsidR="005F3EF7" w:rsidRPr="00343052">
        <w:rPr>
          <w:rFonts w:cstheme="majorBidi"/>
          <w:lang w:val="en-US"/>
        </w:rPr>
        <w:t xml:space="preserve">have also </w:t>
      </w:r>
      <w:r w:rsidR="00EC5018" w:rsidRPr="00343052">
        <w:rPr>
          <w:rFonts w:cstheme="majorBidi"/>
          <w:lang w:val="en-US"/>
        </w:rPr>
        <w:t>recruit</w:t>
      </w:r>
      <w:r w:rsidR="005F3EF7" w:rsidRPr="00343052">
        <w:rPr>
          <w:rFonts w:cstheme="majorBidi"/>
          <w:lang w:val="en-US"/>
        </w:rPr>
        <w:t>ed</w:t>
      </w:r>
      <w:r w:rsidR="00EC5018" w:rsidRPr="00343052">
        <w:rPr>
          <w:rFonts w:cstheme="majorBidi"/>
          <w:lang w:val="en-US"/>
        </w:rPr>
        <w:t xml:space="preserve"> and use</w:t>
      </w:r>
      <w:r w:rsidR="005F3EF7" w:rsidRPr="00343052">
        <w:rPr>
          <w:rFonts w:cstheme="majorBidi"/>
          <w:lang w:val="en-US"/>
        </w:rPr>
        <w:t>d</w:t>
      </w:r>
      <w:r w:rsidR="00EC5018" w:rsidRPr="00343052">
        <w:rPr>
          <w:rFonts w:cstheme="majorBidi"/>
          <w:lang w:val="en-US"/>
        </w:rPr>
        <w:t xml:space="preserve"> children</w:t>
      </w:r>
      <w:r w:rsidR="007F5FAC">
        <w:rPr>
          <w:rFonts w:cstheme="majorBidi"/>
          <w:lang w:val="en-US"/>
        </w:rPr>
        <w:t>, and this is often linked to an older relative facilitating recruitment or in instances in which the child has lost all members of his or her family</w:t>
      </w:r>
      <w:r w:rsidR="00111F99" w:rsidRPr="00343052">
        <w:rPr>
          <w:rFonts w:cstheme="majorBidi"/>
          <w:lang w:val="en-US"/>
        </w:rPr>
        <w:t>.</w:t>
      </w:r>
      <w:r w:rsidR="007F5FAC">
        <w:rPr>
          <w:rStyle w:val="FootnoteReference"/>
          <w:rFonts w:cstheme="majorBidi"/>
          <w:lang w:val="en-US"/>
        </w:rPr>
        <w:footnoteReference w:id="73"/>
      </w:r>
      <w:r w:rsidR="00111F99" w:rsidRPr="00343052">
        <w:rPr>
          <w:rFonts w:cstheme="majorBidi"/>
          <w:lang w:val="en-US"/>
        </w:rPr>
        <w:t xml:space="preserve"> </w:t>
      </w:r>
      <w:r w:rsidR="00EC5018" w:rsidRPr="00343052">
        <w:rPr>
          <w:rFonts w:cstheme="majorBidi"/>
          <w:lang w:val="en-US"/>
        </w:rPr>
        <w:t xml:space="preserve"> </w:t>
      </w:r>
      <w:r w:rsidR="005F3EF7" w:rsidRPr="00343052">
        <w:rPr>
          <w:rFonts w:cstheme="majorBidi"/>
          <w:lang w:val="en-US"/>
        </w:rPr>
        <w:t>C</w:t>
      </w:r>
      <w:proofErr w:type="spellStart"/>
      <w:r w:rsidR="007D02E2" w:rsidRPr="00343052">
        <w:rPr>
          <w:rFonts w:cstheme="majorBidi"/>
        </w:rPr>
        <w:t>hildren</w:t>
      </w:r>
      <w:proofErr w:type="spellEnd"/>
      <w:r w:rsidR="005F3EF7" w:rsidRPr="00343052">
        <w:rPr>
          <w:rFonts w:cstheme="majorBidi"/>
        </w:rPr>
        <w:t xml:space="preserve"> are increasingly being used by parties to the conflict to participate in a range of conflict-related activities</w:t>
      </w:r>
      <w:r w:rsidR="007F5FAC">
        <w:rPr>
          <w:rFonts w:cstheme="majorBidi"/>
        </w:rPr>
        <w:t xml:space="preserve"> (both combat and support)</w:t>
      </w:r>
      <w:r w:rsidR="005F3EF7" w:rsidRPr="00343052">
        <w:rPr>
          <w:rFonts w:cstheme="majorBidi"/>
          <w:color w:val="4F81BD" w:themeColor="accent1"/>
        </w:rPr>
        <w:t xml:space="preserve">, </w:t>
      </w:r>
      <w:r w:rsidR="00EC5018" w:rsidRPr="00343052">
        <w:rPr>
          <w:rFonts w:cstheme="majorBidi"/>
        </w:rPr>
        <w:t>including as cooks, porters, cross-border smuggling of arms, lookouts, spies and messengers, as well as cleaning weaponry, and preparing and loading ammunition.</w:t>
      </w:r>
      <w:r w:rsidR="006278CF" w:rsidRPr="00343052">
        <w:rPr>
          <w:rStyle w:val="FootnoteReference"/>
          <w:rFonts w:cstheme="majorBidi"/>
        </w:rPr>
        <w:footnoteReference w:id="74"/>
      </w:r>
      <w:r w:rsidR="00EC5018" w:rsidRPr="00343052">
        <w:rPr>
          <w:rFonts w:cstheme="majorBidi"/>
        </w:rPr>
        <w:t xml:space="preserve">  </w:t>
      </w:r>
      <w:r w:rsidR="005F3EF7" w:rsidRPr="00343052">
        <w:rPr>
          <w:rFonts w:cstheme="majorBidi"/>
        </w:rPr>
        <w:t>There are also reports that children help with frontline medical duties,</w:t>
      </w:r>
      <w:r w:rsidR="005F3EF7" w:rsidRPr="00343052">
        <w:rPr>
          <w:rFonts w:cstheme="majorBidi"/>
          <w:color w:val="1F497D" w:themeColor="text2"/>
        </w:rPr>
        <w:t xml:space="preserve"> </w:t>
      </w:r>
      <w:r w:rsidR="005F3EF7" w:rsidRPr="00343052">
        <w:rPr>
          <w:rFonts w:cstheme="majorBidi"/>
        </w:rPr>
        <w:t>such as medical evacuations, delivery of medical supplies to field hospitals and to assist in the delivery of emergency and trauma health services.</w:t>
      </w:r>
      <w:r w:rsidR="00D108A0" w:rsidRPr="00343052">
        <w:rPr>
          <w:rStyle w:val="FootnoteReference"/>
          <w:rFonts w:cstheme="majorBidi"/>
        </w:rPr>
        <w:footnoteReference w:id="75"/>
      </w:r>
      <w:r w:rsidR="005F3EF7" w:rsidRPr="00343052">
        <w:rPr>
          <w:rFonts w:cstheme="majorBidi"/>
        </w:rPr>
        <w:t xml:space="preserve"> </w:t>
      </w:r>
      <w:r w:rsidR="005F3EF7" w:rsidRPr="00343052">
        <w:rPr>
          <w:rFonts w:cstheme="majorBidi"/>
          <w:lang w:val="en-US"/>
        </w:rPr>
        <w:t xml:space="preserve"> </w:t>
      </w:r>
    </w:p>
    <w:p w:rsidR="00EC5018" w:rsidRPr="00343052" w:rsidRDefault="00EC5018" w:rsidP="00D66F25">
      <w:pPr>
        <w:autoSpaceDE w:val="0"/>
        <w:autoSpaceDN w:val="0"/>
        <w:adjustRightInd w:val="0"/>
        <w:spacing w:after="0"/>
        <w:jc w:val="both"/>
        <w:rPr>
          <w:rFonts w:cstheme="majorBidi"/>
          <w:lang w:val="en-US"/>
        </w:rPr>
      </w:pPr>
    </w:p>
    <w:p w:rsidR="005F3EF7" w:rsidRPr="00343052" w:rsidRDefault="005F3EF7" w:rsidP="00D66F25">
      <w:pPr>
        <w:pStyle w:val="Default"/>
        <w:spacing w:line="276" w:lineRule="auto"/>
        <w:jc w:val="both"/>
        <w:rPr>
          <w:rFonts w:asciiTheme="minorHAnsi" w:hAnsiTheme="minorHAnsi" w:cstheme="majorBidi"/>
          <w:sz w:val="22"/>
          <w:szCs w:val="22"/>
        </w:rPr>
      </w:pPr>
      <w:r w:rsidRPr="00343052">
        <w:rPr>
          <w:rFonts w:asciiTheme="minorHAnsi" w:hAnsiTheme="minorHAnsi" w:cstheme="majorBidi"/>
          <w:color w:val="auto"/>
          <w:sz w:val="22"/>
          <w:szCs w:val="22"/>
        </w:rPr>
        <w:t xml:space="preserve">The use of children in direct combat may also be increasing, directly exposing them to the risk death, injury and permanent disability- </w:t>
      </w:r>
      <w:r w:rsidRPr="00343052">
        <w:rPr>
          <w:rFonts w:asciiTheme="minorHAnsi" w:hAnsiTheme="minorHAnsi" w:cstheme="majorBidi"/>
          <w:sz w:val="22"/>
          <w:szCs w:val="22"/>
        </w:rPr>
        <w:t>86 children have been killed in hostilities as combatants, with nearly half in 2013.</w:t>
      </w:r>
      <w:r w:rsidRPr="00343052">
        <w:rPr>
          <w:rStyle w:val="FootnoteReference"/>
          <w:rFonts w:asciiTheme="minorHAnsi" w:hAnsiTheme="minorHAnsi" w:cstheme="majorBidi"/>
          <w:sz w:val="22"/>
          <w:szCs w:val="22"/>
        </w:rPr>
        <w:footnoteReference w:id="76"/>
      </w:r>
      <w:r w:rsidRPr="00343052">
        <w:rPr>
          <w:rFonts w:asciiTheme="minorHAnsi" w:hAnsiTheme="minorHAnsi" w:cstheme="majorBidi"/>
          <w:sz w:val="22"/>
          <w:szCs w:val="22"/>
        </w:rPr>
        <w:t xml:space="preserve">  </w:t>
      </w:r>
      <w:r w:rsidRPr="00343052">
        <w:rPr>
          <w:rFonts w:asciiTheme="minorHAnsi" w:hAnsiTheme="minorHAnsi" w:cstheme="majorBidi"/>
          <w:color w:val="auto"/>
          <w:sz w:val="22"/>
          <w:szCs w:val="22"/>
        </w:rPr>
        <w:t xml:space="preserve">It is reported that </w:t>
      </w:r>
      <w:r w:rsidRPr="00343052">
        <w:rPr>
          <w:rFonts w:asciiTheme="minorHAnsi" w:hAnsiTheme="minorHAnsi" w:cstheme="majorBidi"/>
          <w:sz w:val="22"/>
          <w:szCs w:val="22"/>
        </w:rPr>
        <w:t>children as young as 14 have undergone arms training</w:t>
      </w:r>
      <w:r w:rsidRPr="00343052">
        <w:rPr>
          <w:rStyle w:val="FootnoteReference"/>
          <w:rFonts w:asciiTheme="minorHAnsi" w:hAnsiTheme="minorHAnsi" w:cstheme="majorBidi"/>
          <w:sz w:val="22"/>
          <w:szCs w:val="22"/>
        </w:rPr>
        <w:footnoteReference w:id="77"/>
      </w:r>
      <w:r w:rsidRPr="00343052">
        <w:rPr>
          <w:rFonts w:asciiTheme="minorHAnsi" w:hAnsiTheme="minorHAnsi" w:cstheme="majorBidi"/>
          <w:sz w:val="22"/>
          <w:szCs w:val="22"/>
        </w:rPr>
        <w:t xml:space="preserve"> and are typically used for logistical purposes (such as carrying weapons) or as lookouts, whereas children aged from 16 are encouraged to carry arms and engage in combats against government.</w:t>
      </w:r>
      <w:r w:rsidRPr="00343052">
        <w:rPr>
          <w:rStyle w:val="FootnoteReference"/>
          <w:rFonts w:asciiTheme="minorHAnsi" w:hAnsiTheme="minorHAnsi" w:cstheme="majorBidi"/>
          <w:sz w:val="22"/>
          <w:szCs w:val="22"/>
        </w:rPr>
        <w:footnoteReference w:id="78"/>
      </w:r>
      <w:r w:rsidRPr="00343052">
        <w:rPr>
          <w:rFonts w:asciiTheme="minorHAnsi" w:hAnsiTheme="minorHAnsi" w:cstheme="majorBidi"/>
          <w:sz w:val="22"/>
          <w:szCs w:val="22"/>
        </w:rPr>
        <w:t xml:space="preserve">  </w:t>
      </w:r>
    </w:p>
    <w:p w:rsidR="00EC5018" w:rsidRPr="00343052" w:rsidRDefault="00EC5018" w:rsidP="00D66F25">
      <w:pPr>
        <w:autoSpaceDE w:val="0"/>
        <w:autoSpaceDN w:val="0"/>
        <w:adjustRightInd w:val="0"/>
        <w:spacing w:after="0"/>
        <w:jc w:val="both"/>
        <w:rPr>
          <w:rFonts w:cstheme="majorBidi"/>
          <w:lang w:val="en-US"/>
        </w:rPr>
      </w:pPr>
    </w:p>
    <w:p w:rsidR="005F3EF7" w:rsidRPr="00343052" w:rsidRDefault="005F3EF7" w:rsidP="00D66F25">
      <w:pPr>
        <w:tabs>
          <w:tab w:val="left" w:pos="1520"/>
        </w:tabs>
        <w:spacing w:after="0"/>
        <w:jc w:val="both"/>
        <w:rPr>
          <w:rFonts w:cstheme="majorBidi"/>
          <w:color w:val="000000" w:themeColor="text1"/>
        </w:rPr>
      </w:pPr>
      <w:r w:rsidRPr="00343052">
        <w:rPr>
          <w:rFonts w:cstheme="majorBidi"/>
        </w:rPr>
        <w:t>The recruitment methods consist of enticing children with money, glorifying freedom fighters, or diffusing the idea that killing the enemy is part of the Jihad.</w:t>
      </w:r>
      <w:r w:rsidRPr="00343052">
        <w:rPr>
          <w:rStyle w:val="FootnoteReference"/>
          <w:rFonts w:cstheme="majorBidi"/>
        </w:rPr>
        <w:footnoteReference w:id="79"/>
      </w:r>
      <w:r w:rsidRPr="00343052">
        <w:rPr>
          <w:rFonts w:cstheme="majorBidi"/>
        </w:rPr>
        <w:t xml:space="preserve"> Accounts from Syrian refugees show children being voluntarily engaged in military actions, for example, it is reported that adolescent boys volunteered to help their older siblings who are already involved in military operations</w:t>
      </w:r>
      <w:r w:rsidRPr="00343052">
        <w:rPr>
          <w:rStyle w:val="FootnoteReference"/>
          <w:rFonts w:cstheme="majorBidi"/>
        </w:rPr>
        <w:footnoteReference w:id="80"/>
      </w:r>
      <w:r w:rsidRPr="00343052">
        <w:rPr>
          <w:rFonts w:cstheme="majorBidi"/>
        </w:rPr>
        <w:t xml:space="preserve">. </w:t>
      </w:r>
      <w:r w:rsidRPr="00343052">
        <w:rPr>
          <w:rFonts w:cstheme="majorBidi"/>
          <w:color w:val="000000" w:themeColor="text1"/>
        </w:rPr>
        <w:t>It has also been reported that some children join due to family and community pressure</w:t>
      </w:r>
      <w:r w:rsidR="0086124B" w:rsidRPr="00343052">
        <w:rPr>
          <w:rFonts w:cstheme="majorBidi"/>
          <w:color w:val="000000" w:themeColor="text1"/>
        </w:rPr>
        <w:t>, and this is seen as a source of pride</w:t>
      </w:r>
      <w:r w:rsidRPr="00343052">
        <w:rPr>
          <w:rFonts w:cstheme="majorBidi"/>
          <w:color w:val="000000" w:themeColor="text1"/>
        </w:rPr>
        <w:t>.</w:t>
      </w:r>
      <w:r w:rsidR="0086124B" w:rsidRPr="00343052">
        <w:rPr>
          <w:rStyle w:val="FootnoteReference"/>
          <w:rFonts w:cstheme="majorBidi"/>
          <w:color w:val="000000" w:themeColor="text1"/>
        </w:rPr>
        <w:footnoteReference w:id="81"/>
      </w:r>
      <w:r w:rsidRPr="00343052">
        <w:rPr>
          <w:rFonts w:cstheme="majorBidi"/>
          <w:color w:val="4F81BD" w:themeColor="accent1"/>
        </w:rPr>
        <w:t xml:space="preserve"> </w:t>
      </w:r>
      <w:r w:rsidRPr="00343052">
        <w:rPr>
          <w:rFonts w:cstheme="majorBidi"/>
          <w:color w:val="000000" w:themeColor="text1"/>
        </w:rPr>
        <w:t xml:space="preserve">It has also been reported that in some locations </w:t>
      </w:r>
      <w:r w:rsidR="0086124B" w:rsidRPr="00343052">
        <w:rPr>
          <w:rFonts w:cstheme="majorBidi"/>
          <w:color w:val="000000" w:themeColor="text1"/>
        </w:rPr>
        <w:t>children are forcibly recruited into military activities.</w:t>
      </w:r>
      <w:r w:rsidR="0086124B" w:rsidRPr="00343052">
        <w:rPr>
          <w:rStyle w:val="FootnoteReference"/>
          <w:rFonts w:cstheme="majorBidi"/>
          <w:color w:val="000000" w:themeColor="text1"/>
        </w:rPr>
        <w:footnoteReference w:id="82"/>
      </w:r>
      <w:r w:rsidR="0086124B" w:rsidRPr="00343052">
        <w:rPr>
          <w:rFonts w:cstheme="majorBidi"/>
          <w:color w:val="000000" w:themeColor="text1"/>
        </w:rPr>
        <w:t xml:space="preserve"> </w:t>
      </w:r>
    </w:p>
    <w:p w:rsidR="005F3EF7" w:rsidRPr="00343052" w:rsidRDefault="005F3EF7" w:rsidP="00D66F25">
      <w:pPr>
        <w:tabs>
          <w:tab w:val="left" w:pos="1520"/>
        </w:tabs>
        <w:spacing w:after="0"/>
        <w:jc w:val="both"/>
        <w:rPr>
          <w:rFonts w:cstheme="majorBidi"/>
          <w:color w:val="4F81BD" w:themeColor="accent1"/>
        </w:rPr>
      </w:pPr>
    </w:p>
    <w:p w:rsidR="005F3EF7" w:rsidRPr="00343052" w:rsidRDefault="005F3EF7" w:rsidP="00D66F25">
      <w:pPr>
        <w:pStyle w:val="Default"/>
        <w:spacing w:line="276" w:lineRule="auto"/>
        <w:jc w:val="both"/>
        <w:rPr>
          <w:rFonts w:asciiTheme="minorHAnsi" w:hAnsiTheme="minorHAnsi" w:cstheme="majorBidi"/>
          <w:color w:val="auto"/>
          <w:sz w:val="22"/>
          <w:szCs w:val="22"/>
          <w:lang w:val="en-GB"/>
        </w:rPr>
      </w:pPr>
      <w:r w:rsidRPr="00343052">
        <w:rPr>
          <w:rFonts w:asciiTheme="minorHAnsi" w:hAnsiTheme="minorHAnsi" w:cstheme="majorBidi"/>
          <w:color w:val="auto"/>
          <w:sz w:val="22"/>
          <w:szCs w:val="22"/>
          <w:lang w:val="en-GB"/>
        </w:rPr>
        <w:t>An assessment of northern Syria identified recruitment of children into armed groups as a high protection concern in Aleppo, Al-</w:t>
      </w:r>
      <w:proofErr w:type="spellStart"/>
      <w:r w:rsidRPr="00343052">
        <w:rPr>
          <w:rFonts w:asciiTheme="minorHAnsi" w:hAnsiTheme="minorHAnsi" w:cstheme="majorBidi"/>
          <w:color w:val="auto"/>
          <w:sz w:val="22"/>
          <w:szCs w:val="22"/>
          <w:lang w:val="en-GB"/>
        </w:rPr>
        <w:t>Hassakeh</w:t>
      </w:r>
      <w:proofErr w:type="spellEnd"/>
      <w:r w:rsidRPr="00343052">
        <w:rPr>
          <w:rFonts w:asciiTheme="minorHAnsi" w:hAnsiTheme="minorHAnsi" w:cstheme="majorBidi"/>
          <w:color w:val="auto"/>
          <w:sz w:val="22"/>
          <w:szCs w:val="22"/>
          <w:lang w:val="en-GB"/>
        </w:rPr>
        <w:t xml:space="preserve"> and </w:t>
      </w:r>
      <w:proofErr w:type="spellStart"/>
      <w:r w:rsidRPr="00343052">
        <w:rPr>
          <w:rFonts w:asciiTheme="minorHAnsi" w:hAnsiTheme="minorHAnsi" w:cstheme="majorBidi"/>
          <w:color w:val="auto"/>
          <w:sz w:val="22"/>
          <w:szCs w:val="22"/>
          <w:lang w:val="en-GB"/>
        </w:rPr>
        <w:t>Deir-ez-Zor</w:t>
      </w:r>
      <w:proofErr w:type="spellEnd"/>
      <w:r w:rsidRPr="00343052">
        <w:rPr>
          <w:rFonts w:asciiTheme="minorHAnsi" w:hAnsiTheme="minorHAnsi" w:cstheme="majorBidi"/>
          <w:color w:val="auto"/>
          <w:sz w:val="22"/>
          <w:szCs w:val="22"/>
          <w:lang w:val="en-GB"/>
        </w:rPr>
        <w:t xml:space="preserve">, and to a lesser extent in </w:t>
      </w:r>
      <w:proofErr w:type="spellStart"/>
      <w:r w:rsidRPr="00343052">
        <w:rPr>
          <w:rFonts w:asciiTheme="minorHAnsi" w:hAnsiTheme="minorHAnsi" w:cstheme="majorBidi"/>
          <w:color w:val="auto"/>
          <w:sz w:val="22"/>
          <w:szCs w:val="22"/>
          <w:lang w:val="en-GB"/>
        </w:rPr>
        <w:t>Idleb</w:t>
      </w:r>
      <w:proofErr w:type="spellEnd"/>
      <w:r w:rsidRPr="00343052">
        <w:rPr>
          <w:rFonts w:asciiTheme="minorHAnsi" w:hAnsiTheme="minorHAnsi" w:cstheme="majorBidi"/>
          <w:color w:val="auto"/>
          <w:sz w:val="22"/>
          <w:szCs w:val="22"/>
          <w:lang w:val="en-GB"/>
        </w:rPr>
        <w:t xml:space="preserve">. In </w:t>
      </w:r>
      <w:proofErr w:type="spellStart"/>
      <w:r w:rsidRPr="00343052">
        <w:rPr>
          <w:rFonts w:asciiTheme="minorHAnsi" w:hAnsiTheme="minorHAnsi" w:cstheme="majorBidi"/>
          <w:color w:val="auto"/>
          <w:sz w:val="22"/>
          <w:szCs w:val="22"/>
          <w:lang w:val="en-GB"/>
        </w:rPr>
        <w:t>Thiban</w:t>
      </w:r>
      <w:proofErr w:type="spellEnd"/>
      <w:r w:rsidRPr="00343052">
        <w:rPr>
          <w:rFonts w:asciiTheme="minorHAnsi" w:hAnsiTheme="minorHAnsi" w:cstheme="majorBidi"/>
          <w:color w:val="auto"/>
          <w:sz w:val="22"/>
          <w:szCs w:val="22"/>
          <w:lang w:val="en-GB"/>
        </w:rPr>
        <w:t xml:space="preserve"> (</w:t>
      </w:r>
      <w:proofErr w:type="spellStart"/>
      <w:r w:rsidRPr="00343052">
        <w:rPr>
          <w:rFonts w:asciiTheme="minorHAnsi" w:hAnsiTheme="minorHAnsi" w:cstheme="majorBidi"/>
          <w:color w:val="auto"/>
          <w:sz w:val="22"/>
          <w:szCs w:val="22"/>
          <w:lang w:val="en-GB"/>
        </w:rPr>
        <w:t>Deir-ez-Zor</w:t>
      </w:r>
      <w:proofErr w:type="spellEnd"/>
      <w:r w:rsidRPr="00343052">
        <w:rPr>
          <w:rFonts w:asciiTheme="minorHAnsi" w:hAnsiTheme="minorHAnsi" w:cstheme="majorBidi"/>
          <w:color w:val="auto"/>
          <w:sz w:val="22"/>
          <w:szCs w:val="22"/>
          <w:lang w:val="en-GB"/>
        </w:rPr>
        <w:t xml:space="preserve">) it was reported that 25% of children 15+ years have been recruited by armed groups. It was also reported that in </w:t>
      </w:r>
      <w:proofErr w:type="spellStart"/>
      <w:r w:rsidRPr="00343052">
        <w:rPr>
          <w:rFonts w:asciiTheme="minorHAnsi" w:hAnsiTheme="minorHAnsi" w:cstheme="majorBidi"/>
          <w:color w:val="auto"/>
          <w:sz w:val="22"/>
          <w:szCs w:val="22"/>
          <w:lang w:val="en-GB"/>
        </w:rPr>
        <w:t>Menbij</w:t>
      </w:r>
      <w:proofErr w:type="spellEnd"/>
      <w:r w:rsidRPr="00343052">
        <w:rPr>
          <w:rFonts w:asciiTheme="minorHAnsi" w:hAnsiTheme="minorHAnsi" w:cstheme="majorBidi"/>
          <w:color w:val="auto"/>
          <w:sz w:val="22"/>
          <w:szCs w:val="22"/>
          <w:lang w:val="en-GB"/>
        </w:rPr>
        <w:t xml:space="preserve"> and Afrin (Aleppo governorate) children who do not attend school have been recruited by armed forces. Across Afrin children can be seen manning armed checkpoints.  Smaller percentages of childre</w:t>
      </w:r>
      <w:r w:rsidR="0086124B" w:rsidRPr="00343052">
        <w:rPr>
          <w:rFonts w:asciiTheme="minorHAnsi" w:hAnsiTheme="minorHAnsi" w:cstheme="majorBidi"/>
          <w:color w:val="auto"/>
          <w:sz w:val="22"/>
          <w:szCs w:val="22"/>
          <w:lang w:val="en-GB"/>
        </w:rPr>
        <w:t>n</w:t>
      </w:r>
      <w:r w:rsidRPr="00343052">
        <w:rPr>
          <w:rFonts w:asciiTheme="minorHAnsi" w:hAnsiTheme="minorHAnsi" w:cstheme="majorBidi"/>
          <w:color w:val="auto"/>
          <w:sz w:val="22"/>
          <w:szCs w:val="22"/>
          <w:lang w:val="en-GB"/>
        </w:rPr>
        <w:t xml:space="preserve"> 15+ years have been reported as joining the Government in </w:t>
      </w:r>
      <w:proofErr w:type="spellStart"/>
      <w:r w:rsidRPr="00343052">
        <w:rPr>
          <w:rFonts w:asciiTheme="minorHAnsi" w:hAnsiTheme="minorHAnsi" w:cstheme="majorBidi"/>
          <w:color w:val="auto"/>
          <w:sz w:val="22"/>
          <w:szCs w:val="22"/>
          <w:lang w:val="en-GB"/>
        </w:rPr>
        <w:t>Hamra</w:t>
      </w:r>
      <w:proofErr w:type="spellEnd"/>
      <w:r w:rsidRPr="00343052">
        <w:rPr>
          <w:rFonts w:asciiTheme="minorHAnsi" w:hAnsiTheme="minorHAnsi" w:cstheme="majorBidi"/>
          <w:color w:val="auto"/>
          <w:sz w:val="22"/>
          <w:szCs w:val="22"/>
          <w:lang w:val="en-GB"/>
        </w:rPr>
        <w:t xml:space="preserve"> (Hama governorate).</w:t>
      </w:r>
      <w:r w:rsidRPr="00343052">
        <w:rPr>
          <w:rStyle w:val="FootnoteReference"/>
          <w:rFonts w:asciiTheme="minorHAnsi" w:hAnsiTheme="minorHAnsi" w:cstheme="majorBidi"/>
          <w:color w:val="auto"/>
          <w:sz w:val="22"/>
          <w:szCs w:val="22"/>
          <w:lang w:val="en-GB"/>
        </w:rPr>
        <w:footnoteReference w:id="83"/>
      </w:r>
      <w:r w:rsidRPr="00343052">
        <w:rPr>
          <w:rFonts w:asciiTheme="minorHAnsi" w:hAnsiTheme="minorHAnsi" w:cstheme="majorBidi"/>
          <w:color w:val="auto"/>
          <w:sz w:val="22"/>
          <w:szCs w:val="22"/>
          <w:lang w:val="en-GB"/>
        </w:rPr>
        <w:t xml:space="preserve"> </w:t>
      </w:r>
    </w:p>
    <w:p w:rsidR="00B85537" w:rsidRPr="00343052" w:rsidRDefault="00B85537" w:rsidP="00D66F25">
      <w:pPr>
        <w:tabs>
          <w:tab w:val="left" w:pos="1520"/>
        </w:tabs>
        <w:spacing w:after="0"/>
        <w:jc w:val="both"/>
        <w:rPr>
          <w:rFonts w:cstheme="majorBidi"/>
          <w:lang w:val="en-US"/>
        </w:rPr>
      </w:pPr>
    </w:p>
    <w:p w:rsidR="00BC6948" w:rsidRPr="00343052" w:rsidRDefault="00BC6948" w:rsidP="00D66F25">
      <w:pPr>
        <w:tabs>
          <w:tab w:val="left" w:pos="1520"/>
        </w:tabs>
        <w:spacing w:after="0"/>
        <w:jc w:val="both"/>
        <w:rPr>
          <w:rFonts w:cstheme="majorBidi"/>
        </w:rPr>
      </w:pPr>
    </w:p>
    <w:p w:rsidR="00CC345D" w:rsidRPr="00380A79" w:rsidRDefault="00CC345D" w:rsidP="008212D4">
      <w:pPr>
        <w:pStyle w:val="DeskReview2"/>
        <w:numPr>
          <w:ilvl w:val="0"/>
          <w:numId w:val="47"/>
        </w:numPr>
        <w:spacing w:line="276" w:lineRule="auto"/>
        <w:ind w:firstLine="0"/>
        <w:jc w:val="both"/>
        <w:outlineLvl w:val="1"/>
        <w:rPr>
          <w:rFonts w:asciiTheme="minorHAnsi" w:hAnsiTheme="minorHAnsi" w:cstheme="majorBidi"/>
          <w:bCs/>
          <w:i/>
          <w:iCs/>
          <w:color w:val="1F497D" w:themeColor="text2"/>
          <w:u w:val="single"/>
        </w:rPr>
      </w:pPr>
      <w:bookmarkStart w:id="21" w:name="_Toc367720289"/>
      <w:r w:rsidRPr="00380A79">
        <w:rPr>
          <w:rFonts w:asciiTheme="minorHAnsi" w:hAnsiTheme="minorHAnsi" w:cstheme="majorBidi"/>
          <w:bCs/>
          <w:i/>
          <w:iCs/>
          <w:color w:val="1F497D" w:themeColor="text2"/>
          <w:u w:val="single"/>
        </w:rPr>
        <w:t>Sexual violence</w:t>
      </w:r>
      <w:bookmarkEnd w:id="21"/>
    </w:p>
    <w:p w:rsidR="00CC345D" w:rsidRPr="00343052" w:rsidRDefault="00CC345D" w:rsidP="00D66F25">
      <w:pPr>
        <w:pStyle w:val="DeskReview2"/>
        <w:numPr>
          <w:ilvl w:val="1"/>
          <w:numId w:val="34"/>
        </w:numPr>
        <w:spacing w:line="276" w:lineRule="auto"/>
        <w:ind w:firstLine="0"/>
        <w:jc w:val="both"/>
        <w:outlineLvl w:val="2"/>
        <w:rPr>
          <w:rFonts w:asciiTheme="minorHAnsi" w:hAnsiTheme="minorHAnsi" w:cstheme="majorBidi"/>
          <w:bCs/>
          <w:i/>
          <w:iCs/>
          <w:color w:val="1F497D" w:themeColor="text2"/>
          <w:sz w:val="22"/>
          <w:szCs w:val="22"/>
        </w:rPr>
      </w:pPr>
      <w:bookmarkStart w:id="22" w:name="_Toc358663769"/>
      <w:bookmarkStart w:id="23" w:name="_Toc367720290"/>
      <w:r w:rsidRPr="00343052">
        <w:rPr>
          <w:rFonts w:asciiTheme="minorHAnsi" w:hAnsiTheme="minorHAnsi" w:cstheme="majorBidi"/>
          <w:bCs/>
          <w:i/>
          <w:iCs/>
          <w:color w:val="1F497D" w:themeColor="text2"/>
          <w:sz w:val="22"/>
          <w:szCs w:val="22"/>
        </w:rPr>
        <w:t>Understanding of the issue before the conflict</w:t>
      </w:r>
      <w:bookmarkEnd w:id="22"/>
      <w:bookmarkEnd w:id="23"/>
    </w:p>
    <w:p w:rsidR="00A27F13" w:rsidRPr="00343052" w:rsidRDefault="00A27F13" w:rsidP="00D66F25">
      <w:pPr>
        <w:jc w:val="both"/>
        <w:rPr>
          <w:rFonts w:cstheme="majorBidi"/>
          <w:color w:val="000000" w:themeColor="text1"/>
          <w:lang w:val="en-US"/>
        </w:rPr>
      </w:pPr>
      <w:r w:rsidRPr="00343052">
        <w:rPr>
          <w:rFonts w:cstheme="majorBidi"/>
          <w:color w:val="000000" w:themeColor="text1"/>
        </w:rPr>
        <w:t xml:space="preserve">The Syrian Criminal Code prescribes severe penalties for perpetrators of sexual abuse - Article 489 stipulates 21 years imprisonment if the victim is under 15 years of age. However, </w:t>
      </w:r>
      <w:r w:rsidRPr="00343052">
        <w:rPr>
          <w:rFonts w:cstheme="majorBidi"/>
          <w:color w:val="000000" w:themeColor="text1"/>
          <w:lang w:val="en-US"/>
        </w:rPr>
        <w:t>incidences of the victim being punished, rather than the perpetrator are not uncommon.</w:t>
      </w:r>
      <w:r w:rsidR="007D02E2" w:rsidRPr="00343052">
        <w:rPr>
          <w:rStyle w:val="FootnoteReference"/>
          <w:rFonts w:cstheme="majorBidi"/>
          <w:color w:val="000000" w:themeColor="text1"/>
          <w:lang w:val="en-US"/>
        </w:rPr>
        <w:t xml:space="preserve"> </w:t>
      </w:r>
      <w:r w:rsidR="007D02E2" w:rsidRPr="00343052">
        <w:rPr>
          <w:rStyle w:val="FootnoteReference"/>
          <w:rFonts w:cstheme="majorBidi"/>
          <w:color w:val="000000" w:themeColor="text1"/>
          <w:lang w:val="en-US"/>
        </w:rPr>
        <w:footnoteReference w:id="84"/>
      </w:r>
      <w:r w:rsidR="007D02E2" w:rsidRPr="00343052">
        <w:rPr>
          <w:rFonts w:cstheme="majorBidi"/>
          <w:color w:val="000000" w:themeColor="text1"/>
          <w:lang w:val="en-US"/>
        </w:rPr>
        <w:t xml:space="preserve"> </w:t>
      </w:r>
      <w:r w:rsidR="009607CC" w:rsidRPr="00343052">
        <w:rPr>
          <w:rFonts w:cstheme="majorBidi"/>
          <w:color w:val="000000" w:themeColor="text1"/>
          <w:lang w:val="en-US"/>
        </w:rPr>
        <w:t xml:space="preserve"> </w:t>
      </w:r>
    </w:p>
    <w:p w:rsidR="00A27F13" w:rsidRPr="00343052" w:rsidRDefault="00A27F13" w:rsidP="009026E5">
      <w:pPr>
        <w:tabs>
          <w:tab w:val="left" w:pos="540"/>
          <w:tab w:val="left" w:pos="3555"/>
        </w:tabs>
        <w:jc w:val="both"/>
        <w:rPr>
          <w:rFonts w:cstheme="majorBidi"/>
          <w:color w:val="000000" w:themeColor="text1"/>
        </w:rPr>
      </w:pPr>
      <w:r w:rsidRPr="00343052">
        <w:rPr>
          <w:rFonts w:cstheme="majorBidi"/>
          <w:color w:val="000000" w:themeColor="text1"/>
          <w:shd w:val="clear" w:color="auto" w:fill="FFFFFF"/>
        </w:rPr>
        <w:t>Syria’s Penal</w:t>
      </w:r>
      <w:r w:rsidRPr="00343052">
        <w:rPr>
          <w:rStyle w:val="apple-converted-space"/>
          <w:rFonts w:cstheme="majorBidi"/>
          <w:color w:val="000000" w:themeColor="text1"/>
          <w:shd w:val="clear" w:color="auto" w:fill="FFFFFF"/>
        </w:rPr>
        <w:t xml:space="preserve"> Code </w:t>
      </w:r>
      <w:r w:rsidR="007E552A" w:rsidRPr="00343052">
        <w:rPr>
          <w:rStyle w:val="apple-converted-space"/>
          <w:rFonts w:cstheme="majorBidi"/>
          <w:color w:val="000000" w:themeColor="text1"/>
          <w:shd w:val="clear" w:color="auto" w:fill="FFFFFF"/>
        </w:rPr>
        <w:t>allow</w:t>
      </w:r>
      <w:r w:rsidR="009026E5" w:rsidRPr="00343052">
        <w:rPr>
          <w:rStyle w:val="apple-converted-space"/>
          <w:rFonts w:cstheme="majorBidi"/>
          <w:color w:val="000000" w:themeColor="text1"/>
          <w:shd w:val="clear" w:color="auto" w:fill="FFFFFF"/>
        </w:rPr>
        <w:t>ed</w:t>
      </w:r>
      <w:r w:rsidRPr="00343052">
        <w:rPr>
          <w:rFonts w:cstheme="majorBidi"/>
          <w:color w:val="000000" w:themeColor="text1"/>
        </w:rPr>
        <w:t xml:space="preserve"> judges </w:t>
      </w:r>
      <w:r w:rsidR="007E552A" w:rsidRPr="00343052">
        <w:rPr>
          <w:rFonts w:cstheme="majorBidi"/>
          <w:color w:val="000000" w:themeColor="text1"/>
        </w:rPr>
        <w:t>to reduce</w:t>
      </w:r>
      <w:r w:rsidRPr="00343052">
        <w:rPr>
          <w:rFonts w:cstheme="majorBidi"/>
          <w:color w:val="000000" w:themeColor="text1"/>
        </w:rPr>
        <w:t xml:space="preserve"> sentences if a crime was com</w:t>
      </w:r>
      <w:r w:rsidR="009026E5" w:rsidRPr="00343052">
        <w:rPr>
          <w:rFonts w:cstheme="majorBidi"/>
          <w:color w:val="000000" w:themeColor="text1"/>
        </w:rPr>
        <w:t>mitted with ‘honourable’ intent,</w:t>
      </w:r>
      <w:r w:rsidRPr="00343052">
        <w:rPr>
          <w:rStyle w:val="FootnoteReference"/>
          <w:rFonts w:cstheme="majorBidi"/>
          <w:color w:val="000000" w:themeColor="text1"/>
        </w:rPr>
        <w:footnoteReference w:id="85"/>
      </w:r>
      <w:r w:rsidR="009026E5" w:rsidRPr="00343052">
        <w:rPr>
          <w:rFonts w:cstheme="majorBidi"/>
          <w:color w:val="000000" w:themeColor="text1"/>
        </w:rPr>
        <w:t xml:space="preserve"> f</w:t>
      </w:r>
      <w:r w:rsidRPr="00343052">
        <w:rPr>
          <w:rFonts w:cstheme="majorBidi"/>
          <w:color w:val="000000" w:themeColor="text1"/>
        </w:rPr>
        <w:t>ollowing a national conference this article was removed, and since 2009 honour killers incur a</w:t>
      </w:r>
      <w:r w:rsidRPr="00343052">
        <w:rPr>
          <w:rFonts w:cstheme="majorBidi"/>
          <w:color w:val="000000" w:themeColor="text1"/>
          <w:shd w:val="clear" w:color="auto" w:fill="FFFFFF"/>
        </w:rPr>
        <w:t xml:space="preserve"> minimum jail sentence of two years. However, </w:t>
      </w:r>
      <w:r w:rsidR="007E552A" w:rsidRPr="00343052">
        <w:rPr>
          <w:rFonts w:cstheme="majorBidi"/>
          <w:color w:val="000000" w:themeColor="text1"/>
          <w:shd w:val="clear" w:color="auto" w:fill="FFFFFF"/>
        </w:rPr>
        <w:t xml:space="preserve">when a parent is involved in an honour killing, it is </w:t>
      </w:r>
      <w:r w:rsidR="009026E5" w:rsidRPr="00343052">
        <w:rPr>
          <w:rFonts w:cstheme="majorBidi"/>
          <w:color w:val="000000" w:themeColor="text1"/>
          <w:shd w:val="clear" w:color="auto" w:fill="FFFFFF"/>
        </w:rPr>
        <w:t xml:space="preserve">reportedly </w:t>
      </w:r>
      <w:r w:rsidR="007E552A" w:rsidRPr="00343052">
        <w:rPr>
          <w:rFonts w:cstheme="majorBidi"/>
          <w:color w:val="000000" w:themeColor="text1"/>
          <w:shd w:val="clear" w:color="auto" w:fill="FFFFFF"/>
        </w:rPr>
        <w:t xml:space="preserve">common practice </w:t>
      </w:r>
      <w:r w:rsidR="009026E5" w:rsidRPr="00343052">
        <w:rPr>
          <w:rFonts w:cstheme="majorBidi"/>
          <w:color w:val="000000" w:themeColor="text1"/>
          <w:shd w:val="clear" w:color="auto" w:fill="FFFFFF"/>
        </w:rPr>
        <w:t>to</w:t>
      </w:r>
      <w:r w:rsidR="007E552A" w:rsidRPr="00343052">
        <w:rPr>
          <w:rFonts w:cstheme="majorBidi"/>
          <w:color w:val="000000" w:themeColor="text1"/>
          <w:shd w:val="clear" w:color="auto" w:fill="FFFFFF"/>
        </w:rPr>
        <w:t xml:space="preserve"> ask their young children to carry the sentence on their behalf, as the sentence for juveniles for an honour killing is much lighter than for adults.</w:t>
      </w:r>
      <w:r w:rsidR="007D02E2" w:rsidRPr="00343052">
        <w:rPr>
          <w:rFonts w:cstheme="majorBidi"/>
          <w:color w:val="000000" w:themeColor="text1"/>
          <w:shd w:val="clear" w:color="auto" w:fill="FFFFFF"/>
        </w:rPr>
        <w:t xml:space="preserve"> </w:t>
      </w:r>
      <w:r w:rsidR="007D02E2" w:rsidRPr="00343052">
        <w:rPr>
          <w:rFonts w:cstheme="majorBidi"/>
          <w:color w:val="000000" w:themeColor="text1"/>
          <w:lang w:val="en-US"/>
        </w:rPr>
        <w:t>The t</w:t>
      </w:r>
      <w:r w:rsidR="00CE3471">
        <w:rPr>
          <w:rFonts w:cstheme="majorBidi"/>
          <w:color w:val="000000" w:themeColor="text1"/>
          <w:lang w:val="en-US"/>
        </w:rPr>
        <w:t>h</w:t>
      </w:r>
      <w:r w:rsidR="007D02E2" w:rsidRPr="00343052">
        <w:rPr>
          <w:rFonts w:cstheme="majorBidi"/>
          <w:color w:val="000000" w:themeColor="text1"/>
          <w:lang w:val="en-US"/>
        </w:rPr>
        <w:t xml:space="preserve">reat of </w:t>
      </w:r>
      <w:proofErr w:type="spellStart"/>
      <w:r w:rsidR="007D02E2" w:rsidRPr="00343052">
        <w:rPr>
          <w:rFonts w:cstheme="majorBidi"/>
          <w:color w:val="000000" w:themeColor="text1"/>
          <w:lang w:val="en-US"/>
        </w:rPr>
        <w:t>honour</w:t>
      </w:r>
      <w:proofErr w:type="spellEnd"/>
      <w:r w:rsidR="007D02E2" w:rsidRPr="00343052">
        <w:rPr>
          <w:rFonts w:cstheme="majorBidi"/>
          <w:color w:val="000000" w:themeColor="text1"/>
          <w:lang w:val="en-US"/>
        </w:rPr>
        <w:t xml:space="preserve"> killings is among the reasons girls are placed in shelters following sexual violence.</w:t>
      </w:r>
      <w:r w:rsidR="007D02E2" w:rsidRPr="00343052">
        <w:rPr>
          <w:rStyle w:val="FootnoteReference"/>
          <w:rFonts w:cstheme="majorBidi"/>
          <w:color w:val="000000" w:themeColor="text1"/>
          <w:shd w:val="clear" w:color="auto" w:fill="FFFFFF"/>
        </w:rPr>
        <w:t xml:space="preserve"> </w:t>
      </w:r>
      <w:r w:rsidR="007D02E2" w:rsidRPr="00343052">
        <w:rPr>
          <w:rStyle w:val="FootnoteReference"/>
          <w:rFonts w:cstheme="majorBidi"/>
          <w:color w:val="000000" w:themeColor="text1"/>
          <w:shd w:val="clear" w:color="auto" w:fill="FFFFFF"/>
        </w:rPr>
        <w:footnoteReference w:id="86"/>
      </w:r>
    </w:p>
    <w:p w:rsidR="007E552A" w:rsidRPr="00343052" w:rsidRDefault="00A27F13" w:rsidP="00D66F25">
      <w:pPr>
        <w:jc w:val="both"/>
        <w:rPr>
          <w:rFonts w:cstheme="majorBidi"/>
          <w:color w:val="000000" w:themeColor="text1"/>
        </w:rPr>
      </w:pPr>
      <w:r w:rsidRPr="00343052">
        <w:rPr>
          <w:rFonts w:cstheme="majorBidi"/>
          <w:color w:val="000000" w:themeColor="text1"/>
        </w:rPr>
        <w:t xml:space="preserve">A review of sexual abuse cases referred to the Forensic Centre in Aleppo found more than 70% to be boys. This finding does not suggest that boys are more affected by sexual abuse, but it might provide insight into the help seeking patterns of child victims and their families. </w:t>
      </w:r>
      <w:r w:rsidR="007E552A" w:rsidRPr="00343052">
        <w:rPr>
          <w:rFonts w:cstheme="majorBidi"/>
          <w:color w:val="000000" w:themeColor="text1"/>
        </w:rPr>
        <w:t>Even when services are available, access to them may be hampered by f</w:t>
      </w:r>
      <w:r w:rsidRPr="00343052">
        <w:rPr>
          <w:rFonts w:cstheme="majorBidi"/>
          <w:color w:val="000000" w:themeColor="text1"/>
        </w:rPr>
        <w:t>eelings of shame</w:t>
      </w:r>
      <w:r w:rsidR="002C63E8" w:rsidRPr="00343052">
        <w:rPr>
          <w:rFonts w:cstheme="majorBidi"/>
          <w:color w:val="000000" w:themeColor="text1"/>
        </w:rPr>
        <w:t xml:space="preserve"> and guilt, furthermore the high value placed on a girl’s honour – her virginity and reputation can lead to a fear of punishment, social exclusion and honour killing.</w:t>
      </w:r>
      <w:r w:rsidR="009607CC" w:rsidRPr="00343052">
        <w:rPr>
          <w:rStyle w:val="FootnoteReference"/>
          <w:rFonts w:cstheme="majorBidi"/>
          <w:color w:val="000000" w:themeColor="text1"/>
        </w:rPr>
        <w:footnoteReference w:id="87"/>
      </w:r>
    </w:p>
    <w:p w:rsidR="004105E7" w:rsidRPr="00343052" w:rsidRDefault="009607CC" w:rsidP="00D66F25">
      <w:pPr>
        <w:jc w:val="both"/>
        <w:rPr>
          <w:rFonts w:cstheme="majorBidi"/>
          <w:color w:val="000000" w:themeColor="text1"/>
          <w:lang w:val="en-US"/>
        </w:rPr>
      </w:pPr>
      <w:r w:rsidRPr="00343052">
        <w:rPr>
          <w:rFonts w:cstheme="majorBidi"/>
          <w:color w:val="000000" w:themeColor="text1"/>
        </w:rPr>
        <w:t>Shortage of safe and confidential services, such as hotlines, complaint centres and safe houses for child victims of abuse and violence increases children’s vulnerability</w:t>
      </w:r>
      <w:r w:rsidR="009026E5" w:rsidRPr="00343052">
        <w:rPr>
          <w:rFonts w:cstheme="majorBidi"/>
          <w:color w:val="000000" w:themeColor="text1"/>
        </w:rPr>
        <w:t xml:space="preserve"> to t</w:t>
      </w:r>
      <w:r w:rsidR="00CE3471">
        <w:rPr>
          <w:rFonts w:cstheme="majorBidi"/>
          <w:color w:val="000000" w:themeColor="text1"/>
        </w:rPr>
        <w:t>h</w:t>
      </w:r>
      <w:r w:rsidR="009026E5" w:rsidRPr="00343052">
        <w:rPr>
          <w:rFonts w:cstheme="majorBidi"/>
          <w:color w:val="000000" w:themeColor="text1"/>
        </w:rPr>
        <w:t>reats of harm</w:t>
      </w:r>
      <w:r w:rsidRPr="00343052">
        <w:rPr>
          <w:rFonts w:cstheme="majorBidi"/>
          <w:color w:val="000000" w:themeColor="text1"/>
        </w:rPr>
        <w:t xml:space="preserve">. </w:t>
      </w:r>
      <w:r w:rsidR="00A27F13" w:rsidRPr="00343052">
        <w:rPr>
          <w:rFonts w:cstheme="majorBidi"/>
          <w:color w:val="000000" w:themeColor="text1"/>
          <w:lang w:val="en-US"/>
        </w:rPr>
        <w:t xml:space="preserve">Plans to establish a Family Protection Unit to deal with sexual violence including sensitive medical examination, psychological treatment, criminal and legal treatment, social aspect and reintegration </w:t>
      </w:r>
      <w:proofErr w:type="spellStart"/>
      <w:r w:rsidR="00A27F13" w:rsidRPr="00343052">
        <w:rPr>
          <w:rFonts w:cstheme="majorBidi"/>
          <w:color w:val="000000" w:themeColor="text1"/>
          <w:lang w:val="en-US"/>
        </w:rPr>
        <w:t>prog</w:t>
      </w:r>
      <w:r w:rsidRPr="00343052">
        <w:rPr>
          <w:rFonts w:cstheme="majorBidi"/>
          <w:color w:val="000000" w:themeColor="text1"/>
          <w:lang w:val="en-US"/>
        </w:rPr>
        <w:t>rammes</w:t>
      </w:r>
      <w:proofErr w:type="spellEnd"/>
      <w:r w:rsidRPr="00343052">
        <w:rPr>
          <w:rFonts w:cstheme="majorBidi"/>
          <w:color w:val="000000" w:themeColor="text1"/>
          <w:lang w:val="en-US"/>
        </w:rPr>
        <w:t xml:space="preserve"> outlined in 2005 under the National Child Protection Plan, are yet to be realized.</w:t>
      </w:r>
      <w:r w:rsidRPr="00343052">
        <w:rPr>
          <w:rStyle w:val="FootnoteReference"/>
          <w:rFonts w:cstheme="majorBidi"/>
          <w:color w:val="000000" w:themeColor="text1"/>
          <w:lang w:val="en-US"/>
        </w:rPr>
        <w:footnoteReference w:id="88"/>
      </w:r>
      <w:r w:rsidRPr="00343052">
        <w:rPr>
          <w:rFonts w:cstheme="majorBidi"/>
          <w:color w:val="000000" w:themeColor="text1"/>
          <w:lang w:val="en-US"/>
        </w:rPr>
        <w:t xml:space="preserve">  </w:t>
      </w:r>
    </w:p>
    <w:p w:rsidR="000953A5" w:rsidRPr="00343052" w:rsidRDefault="00EB327A" w:rsidP="00EB327A">
      <w:pPr>
        <w:pStyle w:val="DeskReview2"/>
        <w:numPr>
          <w:ilvl w:val="0"/>
          <w:numId w:val="0"/>
        </w:numPr>
        <w:spacing w:line="276" w:lineRule="auto"/>
        <w:jc w:val="both"/>
        <w:rPr>
          <w:rFonts w:asciiTheme="minorHAnsi" w:hAnsiTheme="minorHAnsi" w:cstheme="majorBidi"/>
          <w:b w:val="0"/>
          <w:color w:val="auto"/>
          <w:sz w:val="22"/>
          <w:szCs w:val="22"/>
          <w:lang w:val="en-US"/>
        </w:rPr>
      </w:pPr>
      <w:r w:rsidRPr="00343052">
        <w:rPr>
          <w:rFonts w:asciiTheme="minorHAnsi" w:hAnsiTheme="minorHAnsi" w:cstheme="majorBidi"/>
          <w:b w:val="0"/>
          <w:color w:val="auto"/>
          <w:sz w:val="22"/>
          <w:szCs w:val="22"/>
          <w:lang w:val="en-US"/>
        </w:rPr>
        <w:t xml:space="preserve">See worst forms of </w:t>
      </w:r>
      <w:proofErr w:type="spellStart"/>
      <w:r w:rsidRPr="00343052">
        <w:rPr>
          <w:rFonts w:asciiTheme="minorHAnsi" w:hAnsiTheme="minorHAnsi" w:cstheme="majorBidi"/>
          <w:b w:val="0"/>
          <w:color w:val="auto"/>
          <w:sz w:val="22"/>
          <w:szCs w:val="22"/>
          <w:lang w:val="en-US"/>
        </w:rPr>
        <w:t>labour</w:t>
      </w:r>
      <w:proofErr w:type="spellEnd"/>
      <w:r w:rsidRPr="00343052">
        <w:rPr>
          <w:rFonts w:asciiTheme="minorHAnsi" w:hAnsiTheme="minorHAnsi" w:cstheme="majorBidi"/>
          <w:b w:val="0"/>
          <w:color w:val="auto"/>
          <w:sz w:val="22"/>
          <w:szCs w:val="22"/>
          <w:lang w:val="en-US"/>
        </w:rPr>
        <w:t xml:space="preserve"> for trafficking and commercial sexual exploitation</w:t>
      </w:r>
    </w:p>
    <w:p w:rsidR="00EB327A" w:rsidRPr="00343052" w:rsidRDefault="00EB327A" w:rsidP="00EB327A">
      <w:pPr>
        <w:pStyle w:val="DeskReview2"/>
        <w:numPr>
          <w:ilvl w:val="0"/>
          <w:numId w:val="0"/>
        </w:numPr>
        <w:spacing w:line="276" w:lineRule="auto"/>
        <w:jc w:val="both"/>
        <w:rPr>
          <w:rFonts w:asciiTheme="minorHAnsi" w:hAnsiTheme="minorHAnsi" w:cstheme="majorBidi"/>
          <w:bCs/>
          <w:i/>
          <w:iCs/>
          <w:color w:val="1F497D" w:themeColor="text2"/>
          <w:sz w:val="22"/>
          <w:szCs w:val="22"/>
          <w:lang w:val="en-US"/>
        </w:rPr>
      </w:pPr>
    </w:p>
    <w:p w:rsidR="006278CF" w:rsidRPr="00343052" w:rsidRDefault="006278CF" w:rsidP="00EB327A">
      <w:pPr>
        <w:pStyle w:val="DeskReview2"/>
        <w:numPr>
          <w:ilvl w:val="0"/>
          <w:numId w:val="0"/>
        </w:numPr>
        <w:spacing w:line="276" w:lineRule="auto"/>
        <w:jc w:val="both"/>
        <w:rPr>
          <w:rFonts w:asciiTheme="minorHAnsi" w:hAnsiTheme="minorHAnsi" w:cstheme="majorBidi"/>
          <w:bCs/>
          <w:i/>
          <w:iCs/>
          <w:color w:val="1F497D" w:themeColor="text2"/>
          <w:sz w:val="22"/>
          <w:szCs w:val="22"/>
          <w:lang w:val="en-US"/>
        </w:rPr>
      </w:pPr>
    </w:p>
    <w:p w:rsidR="00CC345D" w:rsidRPr="00343052" w:rsidRDefault="00CC345D" w:rsidP="00D66F25">
      <w:pPr>
        <w:pStyle w:val="DeskReview2"/>
        <w:numPr>
          <w:ilvl w:val="1"/>
          <w:numId w:val="34"/>
        </w:numPr>
        <w:spacing w:line="276" w:lineRule="auto"/>
        <w:ind w:firstLine="0"/>
        <w:jc w:val="both"/>
        <w:outlineLvl w:val="2"/>
        <w:rPr>
          <w:rFonts w:asciiTheme="minorHAnsi" w:hAnsiTheme="minorHAnsi" w:cstheme="majorBidi"/>
          <w:bCs/>
          <w:i/>
          <w:iCs/>
          <w:color w:val="1F497D" w:themeColor="text2"/>
          <w:sz w:val="22"/>
          <w:szCs w:val="22"/>
        </w:rPr>
      </w:pPr>
      <w:bookmarkStart w:id="24" w:name="_Toc358663770"/>
      <w:bookmarkStart w:id="25" w:name="_Toc367720291"/>
      <w:r w:rsidRPr="00343052">
        <w:rPr>
          <w:rFonts w:asciiTheme="minorHAnsi" w:hAnsiTheme="minorHAnsi" w:cstheme="majorBidi"/>
          <w:bCs/>
          <w:i/>
          <w:iCs/>
          <w:color w:val="1F497D" w:themeColor="text2"/>
          <w:sz w:val="22"/>
          <w:szCs w:val="22"/>
        </w:rPr>
        <w:t>Understanding of the issue since the onset of the conflict</w:t>
      </w:r>
      <w:bookmarkEnd w:id="24"/>
      <w:bookmarkEnd w:id="25"/>
    </w:p>
    <w:p w:rsidR="001E2F2F" w:rsidRPr="00343052" w:rsidRDefault="00714D83" w:rsidP="00C97A42">
      <w:pPr>
        <w:jc w:val="both"/>
        <w:rPr>
          <w:rFonts w:cstheme="majorBidi"/>
        </w:rPr>
      </w:pPr>
      <w:r w:rsidRPr="00343052">
        <w:rPr>
          <w:rFonts w:cstheme="majorBidi"/>
        </w:rPr>
        <w:t xml:space="preserve">In February 2013, </w:t>
      </w:r>
      <w:r w:rsidR="00B763EF" w:rsidRPr="00343052">
        <w:rPr>
          <w:rFonts w:cstheme="majorBidi"/>
        </w:rPr>
        <w:t xml:space="preserve">Special </w:t>
      </w:r>
      <w:r w:rsidRPr="00343052">
        <w:rPr>
          <w:rFonts w:cstheme="majorBidi"/>
        </w:rPr>
        <w:t>R</w:t>
      </w:r>
      <w:r w:rsidR="00B763EF" w:rsidRPr="00343052">
        <w:rPr>
          <w:rFonts w:cstheme="majorBidi"/>
        </w:rPr>
        <w:t xml:space="preserve">epresentative of the Secretary-General on Sexual Violence in Conflict, </w:t>
      </w:r>
      <w:proofErr w:type="spellStart"/>
      <w:r w:rsidR="00B763EF" w:rsidRPr="00343052">
        <w:rPr>
          <w:rFonts w:cstheme="majorBidi"/>
        </w:rPr>
        <w:t>Zainab</w:t>
      </w:r>
      <w:proofErr w:type="spellEnd"/>
      <w:r w:rsidR="00B763EF" w:rsidRPr="00343052">
        <w:rPr>
          <w:rFonts w:cstheme="majorBidi"/>
        </w:rPr>
        <w:t xml:space="preserve"> </w:t>
      </w:r>
      <w:proofErr w:type="spellStart"/>
      <w:r w:rsidR="00B763EF" w:rsidRPr="00343052">
        <w:rPr>
          <w:rFonts w:cstheme="majorBidi"/>
        </w:rPr>
        <w:t>Hawa</w:t>
      </w:r>
      <w:proofErr w:type="spellEnd"/>
      <w:r w:rsidR="00B763EF" w:rsidRPr="00343052">
        <w:rPr>
          <w:rFonts w:cstheme="majorBidi"/>
        </w:rPr>
        <w:t xml:space="preserve"> </w:t>
      </w:r>
      <w:proofErr w:type="spellStart"/>
      <w:r w:rsidR="00B763EF" w:rsidRPr="00343052">
        <w:rPr>
          <w:rFonts w:cstheme="majorBidi"/>
        </w:rPr>
        <w:t>Bangura</w:t>
      </w:r>
      <w:proofErr w:type="spellEnd"/>
      <w:r w:rsidR="00B763EF" w:rsidRPr="00343052">
        <w:rPr>
          <w:rFonts w:cstheme="majorBidi"/>
        </w:rPr>
        <w:t>, stated “the people of Syria already caught in a vicious cycle of violence are also the target of sexual violence by all parties to the conflict”.</w:t>
      </w:r>
      <w:r w:rsidR="00B763EF" w:rsidRPr="00343052">
        <w:rPr>
          <w:rStyle w:val="FootnoteReference"/>
          <w:rFonts w:cstheme="majorBidi"/>
        </w:rPr>
        <w:footnoteReference w:id="89"/>
      </w:r>
      <w:r w:rsidR="00B763EF" w:rsidRPr="00343052">
        <w:rPr>
          <w:rFonts w:cstheme="majorBidi"/>
        </w:rPr>
        <w:t xml:space="preserve"> </w:t>
      </w:r>
      <w:r w:rsidR="001E2F2F" w:rsidRPr="00343052">
        <w:rPr>
          <w:rFonts w:cstheme="majorBidi"/>
        </w:rPr>
        <w:t>Accounts indicated that rape and other forms of sexual violence had been committed in two circumstances. The first was during house searches and at checkpoints; the second, in detention</w:t>
      </w:r>
      <w:r w:rsidR="001E2F2F" w:rsidRPr="00343052">
        <w:rPr>
          <w:rStyle w:val="FootnoteReference"/>
          <w:rFonts w:cstheme="majorBidi"/>
        </w:rPr>
        <w:footnoteReference w:id="90"/>
      </w:r>
      <w:r w:rsidR="001E2F2F" w:rsidRPr="00343052">
        <w:rPr>
          <w:rFonts w:cstheme="majorBidi"/>
        </w:rPr>
        <w:t xml:space="preserve">. </w:t>
      </w:r>
    </w:p>
    <w:p w:rsidR="00BD6E05" w:rsidRPr="00343052" w:rsidRDefault="00EA5305" w:rsidP="009026E5">
      <w:pPr>
        <w:jc w:val="both"/>
        <w:rPr>
          <w:rFonts w:cstheme="majorBidi"/>
        </w:rPr>
      </w:pPr>
      <w:r w:rsidRPr="00343052">
        <w:rPr>
          <w:rFonts w:cstheme="majorBidi"/>
        </w:rPr>
        <w:t xml:space="preserve">Sexual violence has been perpetrated against girls as young as </w:t>
      </w:r>
      <w:r w:rsidR="00B763EF" w:rsidRPr="00343052">
        <w:rPr>
          <w:rFonts w:cstheme="majorBidi"/>
        </w:rPr>
        <w:t>12</w:t>
      </w:r>
      <w:r w:rsidRPr="00343052">
        <w:rPr>
          <w:rFonts w:cstheme="majorBidi"/>
        </w:rPr>
        <w:t xml:space="preserve"> years</w:t>
      </w:r>
      <w:r w:rsidR="00B763EF" w:rsidRPr="00343052">
        <w:rPr>
          <w:rFonts w:cstheme="majorBidi"/>
        </w:rPr>
        <w:t xml:space="preserve"> </w:t>
      </w:r>
      <w:r w:rsidRPr="00343052">
        <w:rPr>
          <w:rFonts w:cstheme="majorBidi"/>
        </w:rPr>
        <w:t>during</w:t>
      </w:r>
      <w:r w:rsidR="00B763EF" w:rsidRPr="00343052">
        <w:rPr>
          <w:rFonts w:cstheme="majorBidi"/>
        </w:rPr>
        <w:t xml:space="preserve"> raids and military sweeps of residential areas.</w:t>
      </w:r>
      <w:r w:rsidR="00B763EF" w:rsidRPr="00343052">
        <w:rPr>
          <w:rStyle w:val="FootnoteReference"/>
          <w:rFonts w:cstheme="majorBidi"/>
        </w:rPr>
        <w:footnoteReference w:id="91"/>
      </w:r>
      <w:r w:rsidR="00B763EF" w:rsidRPr="00343052">
        <w:rPr>
          <w:rFonts w:cstheme="majorBidi"/>
        </w:rPr>
        <w:t xml:space="preserve"> </w:t>
      </w:r>
      <w:r w:rsidR="00B763EF" w:rsidRPr="00343052">
        <w:rPr>
          <w:rFonts w:cstheme="majorBidi"/>
          <w:color w:val="000000" w:themeColor="text1"/>
        </w:rPr>
        <w:t xml:space="preserve">There have also been reports of sexual violence of girls at checkpoints, </w:t>
      </w:r>
      <w:r w:rsidR="00B763EF" w:rsidRPr="00343052">
        <w:rPr>
          <w:rFonts w:cstheme="majorBidi"/>
          <w:color w:val="000000" w:themeColor="text1"/>
        </w:rPr>
        <w:lastRenderedPageBreak/>
        <w:t xml:space="preserve">including </w:t>
      </w:r>
      <w:r w:rsidR="00C30893" w:rsidRPr="00343052">
        <w:rPr>
          <w:rFonts w:cstheme="majorBidi"/>
          <w:color w:val="000000" w:themeColor="text1"/>
        </w:rPr>
        <w:t>rape.</w:t>
      </w:r>
      <w:r w:rsidR="00C30893" w:rsidRPr="00343052">
        <w:rPr>
          <w:rStyle w:val="FootnoteReference"/>
          <w:rFonts w:cstheme="majorBidi"/>
          <w:color w:val="000000" w:themeColor="text1"/>
        </w:rPr>
        <w:footnoteReference w:id="92"/>
      </w:r>
      <w:r w:rsidR="00C30893" w:rsidRPr="00343052">
        <w:rPr>
          <w:rFonts w:cstheme="majorBidi"/>
          <w:color w:val="4F81BD" w:themeColor="accent1"/>
        </w:rPr>
        <w:t xml:space="preserve"> </w:t>
      </w:r>
      <w:r w:rsidR="009026E5" w:rsidRPr="00343052">
        <w:rPr>
          <w:rFonts w:cstheme="majorBidi"/>
        </w:rPr>
        <w:t xml:space="preserve">It is also alleged that children have witnessed sexual violence of their own family members and some victims have been killed after the rape. </w:t>
      </w:r>
      <w:r w:rsidR="009026E5" w:rsidRPr="00343052">
        <w:rPr>
          <w:rStyle w:val="FootnoteReference"/>
          <w:rFonts w:cstheme="majorBidi"/>
        </w:rPr>
        <w:footnoteReference w:id="93"/>
      </w:r>
    </w:p>
    <w:p w:rsidR="004231F2" w:rsidRPr="00343052" w:rsidRDefault="009026E5" w:rsidP="00D66F25">
      <w:pPr>
        <w:autoSpaceDE w:val="0"/>
        <w:autoSpaceDN w:val="0"/>
        <w:adjustRightInd w:val="0"/>
        <w:spacing w:after="0"/>
        <w:jc w:val="both"/>
        <w:rPr>
          <w:rFonts w:cstheme="majorBidi"/>
          <w:lang w:val="en-US"/>
        </w:rPr>
      </w:pPr>
      <w:r w:rsidRPr="00343052">
        <w:rPr>
          <w:rFonts w:cstheme="majorBidi"/>
        </w:rPr>
        <w:t>Sexual violence</w:t>
      </w:r>
      <w:r w:rsidR="00F2317C" w:rsidRPr="00343052">
        <w:rPr>
          <w:rFonts w:cstheme="majorBidi"/>
        </w:rPr>
        <w:t xml:space="preserve"> </w:t>
      </w:r>
      <w:r w:rsidR="008C7DAD">
        <w:rPr>
          <w:rFonts w:cstheme="majorBidi"/>
        </w:rPr>
        <w:t xml:space="preserve">has </w:t>
      </w:r>
      <w:r w:rsidR="00F2317C" w:rsidRPr="00343052">
        <w:rPr>
          <w:rFonts w:cstheme="majorBidi"/>
        </w:rPr>
        <w:t>also been used as a method of torture in official and unofficial detention centre</w:t>
      </w:r>
      <w:r w:rsidR="00714D83" w:rsidRPr="00343052">
        <w:rPr>
          <w:rFonts w:cstheme="majorBidi"/>
        </w:rPr>
        <w:t>s</w:t>
      </w:r>
      <w:r w:rsidR="00F2317C" w:rsidRPr="00343052">
        <w:rPr>
          <w:rStyle w:val="FootnoteReference"/>
          <w:rFonts w:cstheme="majorBidi"/>
        </w:rPr>
        <w:footnoteReference w:id="94"/>
      </w:r>
      <w:r w:rsidR="00F2317C" w:rsidRPr="00343052">
        <w:rPr>
          <w:rFonts w:cstheme="majorBidi"/>
        </w:rPr>
        <w:t xml:space="preserve"> to extract information</w:t>
      </w:r>
      <w:r w:rsidR="004231F2" w:rsidRPr="00343052">
        <w:rPr>
          <w:rFonts w:cstheme="majorBidi"/>
        </w:rPr>
        <w:t xml:space="preserve"> during interrogations and to punish victims for supporting the opposition</w:t>
      </w:r>
      <w:r w:rsidR="004231F2" w:rsidRPr="00343052">
        <w:rPr>
          <w:rStyle w:val="FootnoteReference"/>
          <w:rFonts w:cstheme="majorBidi"/>
        </w:rPr>
        <w:footnoteReference w:id="95"/>
      </w:r>
      <w:r w:rsidR="00F2317C" w:rsidRPr="00343052">
        <w:rPr>
          <w:rFonts w:cstheme="majorBidi"/>
        </w:rPr>
        <w:t>, and includes rape and other penetration, sexual groping, forced n</w:t>
      </w:r>
      <w:r w:rsidR="00EA5305" w:rsidRPr="00343052">
        <w:rPr>
          <w:rFonts w:cstheme="majorBidi"/>
        </w:rPr>
        <w:t xml:space="preserve">udity and </w:t>
      </w:r>
      <w:r w:rsidR="00BD6E05" w:rsidRPr="00343052">
        <w:rPr>
          <w:rFonts w:cstheme="majorBidi"/>
        </w:rPr>
        <w:t xml:space="preserve">electroshocks and </w:t>
      </w:r>
      <w:r w:rsidR="00EA5305" w:rsidRPr="00343052">
        <w:rPr>
          <w:rFonts w:cstheme="majorBidi"/>
        </w:rPr>
        <w:t>beatings to genitalia</w:t>
      </w:r>
      <w:r w:rsidR="00F2317C" w:rsidRPr="00343052">
        <w:rPr>
          <w:rStyle w:val="FootnoteReference"/>
          <w:rFonts w:cstheme="majorBidi"/>
          <w:lang w:val="en-US"/>
        </w:rPr>
        <w:t xml:space="preserve"> </w:t>
      </w:r>
      <w:r w:rsidR="00F2317C" w:rsidRPr="00343052">
        <w:rPr>
          <w:rStyle w:val="FootnoteReference"/>
          <w:rFonts w:cstheme="majorBidi"/>
          <w:lang w:val="en-US"/>
        </w:rPr>
        <w:footnoteReference w:id="96"/>
      </w:r>
      <w:r w:rsidR="00F2317C" w:rsidRPr="00343052">
        <w:rPr>
          <w:rFonts w:cstheme="majorBidi"/>
          <w:lang w:val="en-US"/>
        </w:rPr>
        <w:t xml:space="preserve"> (see physical violence)</w:t>
      </w:r>
      <w:r w:rsidR="00EA5305" w:rsidRPr="00343052">
        <w:rPr>
          <w:rFonts w:cstheme="majorBidi"/>
          <w:lang w:val="en-US"/>
        </w:rPr>
        <w:t xml:space="preserve">. </w:t>
      </w:r>
      <w:r w:rsidR="001E2F2F" w:rsidRPr="00343052">
        <w:rPr>
          <w:rFonts w:cstheme="majorBidi"/>
          <w:lang w:val="en-US"/>
        </w:rPr>
        <w:t xml:space="preserve">14-year-old girl was raped and otherwise brutalized in an unofficial detention </w:t>
      </w:r>
      <w:proofErr w:type="spellStart"/>
      <w:r w:rsidR="001E2F2F" w:rsidRPr="00343052">
        <w:rPr>
          <w:rFonts w:cstheme="majorBidi"/>
          <w:lang w:val="en-US"/>
        </w:rPr>
        <w:t>centre</w:t>
      </w:r>
      <w:proofErr w:type="spellEnd"/>
      <w:r w:rsidR="001E2F2F" w:rsidRPr="00343052">
        <w:rPr>
          <w:rFonts w:cstheme="majorBidi"/>
          <w:lang w:val="en-US"/>
        </w:rPr>
        <w:t xml:space="preserve"> in </w:t>
      </w:r>
      <w:proofErr w:type="spellStart"/>
      <w:r w:rsidR="001E2F2F" w:rsidRPr="00343052">
        <w:rPr>
          <w:rFonts w:cstheme="majorBidi"/>
          <w:lang w:val="en-US"/>
        </w:rPr>
        <w:t>Idlib</w:t>
      </w:r>
      <w:proofErr w:type="spellEnd"/>
      <w:r w:rsidR="001E2F2F" w:rsidRPr="00343052">
        <w:rPr>
          <w:rStyle w:val="FootnoteReference"/>
          <w:rFonts w:cstheme="majorBidi"/>
          <w:lang w:val="en-US"/>
        </w:rPr>
        <w:footnoteReference w:id="97"/>
      </w:r>
      <w:r w:rsidR="001E2F2F" w:rsidRPr="00343052">
        <w:rPr>
          <w:rFonts w:cstheme="majorBidi"/>
          <w:lang w:val="en-US"/>
        </w:rPr>
        <w:t>.</w:t>
      </w:r>
      <w:r w:rsidR="004231F2" w:rsidRPr="00343052">
        <w:rPr>
          <w:rFonts w:cstheme="majorBidi"/>
          <w:lang w:val="en-US"/>
        </w:rPr>
        <w:t xml:space="preserve"> Attacks are reportedly often carried out in public, compounding the humiliation and stigma endured by those who survive.</w:t>
      </w:r>
      <w:r w:rsidR="004231F2" w:rsidRPr="00343052">
        <w:rPr>
          <w:rStyle w:val="FootnoteReference"/>
          <w:rFonts w:cstheme="majorBidi"/>
          <w:lang w:val="en-US"/>
        </w:rPr>
        <w:footnoteReference w:id="98"/>
      </w:r>
      <w:r w:rsidR="004231F2" w:rsidRPr="00343052">
        <w:rPr>
          <w:rFonts w:cstheme="majorBidi"/>
          <w:lang w:val="en-US"/>
        </w:rPr>
        <w:t xml:space="preserve"> </w:t>
      </w:r>
      <w:r w:rsidR="00BD6E05" w:rsidRPr="00343052">
        <w:rPr>
          <w:rFonts w:cstheme="majorBidi"/>
          <w:lang w:val="en-US"/>
        </w:rPr>
        <w:t>Detention facilities where detainees have reported sexual torture include Military Intelligence Branch 248 and Branch 235 (Palestine Branch)</w:t>
      </w:r>
      <w:r w:rsidRPr="00343052">
        <w:rPr>
          <w:rFonts w:cstheme="majorBidi"/>
          <w:lang w:val="en-US"/>
        </w:rPr>
        <w:t xml:space="preserve"> in </w:t>
      </w:r>
      <w:r w:rsidR="0064499C" w:rsidRPr="00343052">
        <w:rPr>
          <w:rFonts w:cstheme="majorBidi"/>
          <w:lang w:val="en-US"/>
        </w:rPr>
        <w:t>Damascus</w:t>
      </w:r>
      <w:r w:rsidR="00BD6E05" w:rsidRPr="00343052">
        <w:rPr>
          <w:rFonts w:cstheme="majorBidi"/>
          <w:lang w:val="en-US"/>
        </w:rPr>
        <w:t xml:space="preserve">; the Military Intelligence facilities in </w:t>
      </w:r>
      <w:proofErr w:type="spellStart"/>
      <w:r w:rsidR="00BD6E05" w:rsidRPr="00343052">
        <w:rPr>
          <w:rFonts w:cstheme="majorBidi"/>
          <w:lang w:val="en-US"/>
        </w:rPr>
        <w:t>Jisr</w:t>
      </w:r>
      <w:proofErr w:type="spellEnd"/>
      <w:r w:rsidR="00BD6E05" w:rsidRPr="00343052">
        <w:rPr>
          <w:rFonts w:cstheme="majorBidi"/>
          <w:lang w:val="en-US"/>
        </w:rPr>
        <w:t xml:space="preserve"> al-</w:t>
      </w:r>
      <w:proofErr w:type="spellStart"/>
      <w:r w:rsidR="00BD6E05" w:rsidRPr="00343052">
        <w:rPr>
          <w:rFonts w:cstheme="majorBidi"/>
          <w:lang w:val="en-US"/>
        </w:rPr>
        <w:t>Shughur</w:t>
      </w:r>
      <w:proofErr w:type="spellEnd"/>
      <w:r w:rsidR="00BD6E05" w:rsidRPr="00343052">
        <w:rPr>
          <w:rFonts w:cstheme="majorBidi"/>
          <w:lang w:val="en-US"/>
        </w:rPr>
        <w:t xml:space="preserve">, </w:t>
      </w:r>
      <w:proofErr w:type="spellStart"/>
      <w:r w:rsidR="00BD6E05" w:rsidRPr="00343052">
        <w:rPr>
          <w:rFonts w:cstheme="majorBidi"/>
          <w:lang w:val="en-US"/>
        </w:rPr>
        <w:t>Idlib</w:t>
      </w:r>
      <w:proofErr w:type="spellEnd"/>
      <w:r w:rsidR="00BD6E05" w:rsidRPr="00343052">
        <w:rPr>
          <w:rFonts w:cstheme="majorBidi"/>
          <w:lang w:val="en-US"/>
        </w:rPr>
        <w:t xml:space="preserve"> and Homs; the Political Security branch in </w:t>
      </w:r>
      <w:proofErr w:type="spellStart"/>
      <w:r w:rsidR="00BD6E05" w:rsidRPr="00343052">
        <w:rPr>
          <w:rFonts w:cstheme="majorBidi"/>
          <w:lang w:val="en-US"/>
        </w:rPr>
        <w:t>Latakia</w:t>
      </w:r>
      <w:proofErr w:type="spellEnd"/>
      <w:r w:rsidR="00BD6E05" w:rsidRPr="00343052">
        <w:rPr>
          <w:rFonts w:cstheme="majorBidi"/>
          <w:lang w:val="en-US"/>
        </w:rPr>
        <w:t xml:space="preserve">; the Air Force Intelligence branch in Mezze, </w:t>
      </w:r>
      <w:proofErr w:type="spellStart"/>
      <w:r w:rsidR="00BD6E05" w:rsidRPr="00343052">
        <w:rPr>
          <w:rFonts w:cstheme="majorBidi"/>
          <w:lang w:val="en-US"/>
        </w:rPr>
        <w:t>Latakia</w:t>
      </w:r>
      <w:proofErr w:type="spellEnd"/>
      <w:r w:rsidR="00BD6E05" w:rsidRPr="00343052">
        <w:rPr>
          <w:rFonts w:cstheme="majorBidi"/>
          <w:lang w:val="en-US"/>
        </w:rPr>
        <w:t xml:space="preserve"> and Homs; and the </w:t>
      </w:r>
      <w:proofErr w:type="spellStart"/>
      <w:r w:rsidR="00BD6E05" w:rsidRPr="00343052">
        <w:rPr>
          <w:rFonts w:cstheme="majorBidi"/>
          <w:lang w:val="en-US"/>
        </w:rPr>
        <w:t>Idlib</w:t>
      </w:r>
      <w:proofErr w:type="spellEnd"/>
      <w:r w:rsidR="00BD6E05" w:rsidRPr="00343052">
        <w:rPr>
          <w:rFonts w:cstheme="majorBidi"/>
          <w:lang w:val="en-US"/>
        </w:rPr>
        <w:t xml:space="preserve"> Central Prison. </w:t>
      </w:r>
    </w:p>
    <w:p w:rsidR="00B763EF" w:rsidRPr="00343052" w:rsidRDefault="00B763EF" w:rsidP="00D66F25">
      <w:pPr>
        <w:autoSpaceDE w:val="0"/>
        <w:autoSpaceDN w:val="0"/>
        <w:adjustRightInd w:val="0"/>
        <w:spacing w:after="0"/>
        <w:jc w:val="both"/>
        <w:rPr>
          <w:rFonts w:cstheme="majorBidi"/>
          <w:lang w:val="en-US"/>
        </w:rPr>
      </w:pPr>
    </w:p>
    <w:p w:rsidR="00B763EF" w:rsidRPr="00343052" w:rsidRDefault="00EA5305" w:rsidP="00D66F25">
      <w:pPr>
        <w:pStyle w:val="DeskReviewNormal"/>
        <w:spacing w:line="276" w:lineRule="auto"/>
        <w:jc w:val="both"/>
        <w:rPr>
          <w:rFonts w:asciiTheme="minorHAnsi" w:hAnsiTheme="minorHAnsi" w:cstheme="majorBidi"/>
          <w:color w:val="000000"/>
          <w:sz w:val="22"/>
          <w:szCs w:val="22"/>
        </w:rPr>
      </w:pPr>
      <w:r w:rsidRPr="00343052">
        <w:rPr>
          <w:rFonts w:asciiTheme="minorHAnsi" w:hAnsiTheme="minorHAnsi" w:cstheme="majorBidi"/>
          <w:color w:val="auto"/>
          <w:sz w:val="22"/>
          <w:szCs w:val="22"/>
        </w:rPr>
        <w:t xml:space="preserve">The fear of </w:t>
      </w:r>
      <w:r w:rsidR="00357815" w:rsidRPr="00343052">
        <w:rPr>
          <w:rFonts w:asciiTheme="minorHAnsi" w:hAnsiTheme="minorHAnsi" w:cstheme="majorBidi"/>
          <w:color w:val="auto"/>
          <w:sz w:val="22"/>
          <w:szCs w:val="22"/>
        </w:rPr>
        <w:t>rape is a driving motivation for families fleeing violence</w:t>
      </w:r>
      <w:r w:rsidRPr="00343052">
        <w:rPr>
          <w:rFonts w:asciiTheme="minorHAnsi" w:hAnsiTheme="minorHAnsi" w:cstheme="majorBidi"/>
          <w:color w:val="auto"/>
          <w:sz w:val="22"/>
          <w:szCs w:val="22"/>
        </w:rPr>
        <w:t>.</w:t>
      </w:r>
      <w:r w:rsidR="00AA6C53" w:rsidRPr="00343052">
        <w:rPr>
          <w:rStyle w:val="FootnoteReference"/>
          <w:rFonts w:asciiTheme="minorHAnsi" w:hAnsiTheme="minorHAnsi" w:cstheme="majorBidi"/>
          <w:color w:val="auto"/>
          <w:sz w:val="22"/>
          <w:szCs w:val="22"/>
        </w:rPr>
        <w:t xml:space="preserve"> </w:t>
      </w:r>
      <w:r w:rsidR="00AA6C53" w:rsidRPr="00343052">
        <w:rPr>
          <w:rStyle w:val="FootnoteReference"/>
          <w:rFonts w:asciiTheme="minorHAnsi" w:hAnsiTheme="minorHAnsi" w:cstheme="majorBidi"/>
          <w:color w:val="auto"/>
          <w:sz w:val="22"/>
          <w:szCs w:val="22"/>
        </w:rPr>
        <w:footnoteReference w:id="99"/>
      </w:r>
      <w:r w:rsidRPr="00343052">
        <w:rPr>
          <w:rFonts w:asciiTheme="minorHAnsi" w:hAnsiTheme="minorHAnsi" w:cstheme="majorBidi"/>
          <w:color w:val="auto"/>
          <w:sz w:val="22"/>
          <w:szCs w:val="22"/>
        </w:rPr>
        <w:t xml:space="preserve"> </w:t>
      </w:r>
      <w:r w:rsidR="00F2317C" w:rsidRPr="00343052">
        <w:rPr>
          <w:rFonts w:asciiTheme="minorHAnsi" w:hAnsiTheme="minorHAnsi" w:cstheme="majorBidi"/>
          <w:color w:val="000000"/>
          <w:sz w:val="22"/>
          <w:szCs w:val="22"/>
        </w:rPr>
        <w:t>Girls are at particular risk of sexual violence due to forced displacement, family separation, lack of basic structural and social protections, and limited availability and safe access to services</w:t>
      </w:r>
      <w:r w:rsidR="00F2317C" w:rsidRPr="00343052">
        <w:rPr>
          <w:rFonts w:asciiTheme="minorHAnsi" w:hAnsiTheme="minorHAnsi" w:cstheme="majorBidi"/>
          <w:color w:val="auto"/>
          <w:sz w:val="22"/>
          <w:szCs w:val="22"/>
        </w:rPr>
        <w:t>.</w:t>
      </w:r>
      <w:r w:rsidR="00AA6C53" w:rsidRPr="00343052">
        <w:rPr>
          <w:rStyle w:val="FootnoteReference"/>
          <w:rFonts w:asciiTheme="minorHAnsi" w:hAnsiTheme="minorHAnsi" w:cstheme="majorBidi"/>
          <w:color w:val="auto"/>
          <w:sz w:val="22"/>
          <w:szCs w:val="22"/>
        </w:rPr>
        <w:footnoteReference w:id="100"/>
      </w:r>
      <w:r w:rsidR="00F2317C" w:rsidRPr="00343052">
        <w:rPr>
          <w:rFonts w:asciiTheme="minorHAnsi" w:hAnsiTheme="minorHAnsi" w:cstheme="majorBidi"/>
          <w:color w:val="auto"/>
          <w:sz w:val="22"/>
          <w:szCs w:val="22"/>
        </w:rPr>
        <w:t xml:space="preserve"> </w:t>
      </w:r>
      <w:r w:rsidR="00B763EF" w:rsidRPr="00343052">
        <w:rPr>
          <w:rFonts w:asciiTheme="minorHAnsi" w:hAnsiTheme="minorHAnsi" w:cstheme="majorBidi"/>
          <w:color w:val="000000"/>
          <w:sz w:val="22"/>
          <w:szCs w:val="22"/>
        </w:rPr>
        <w:t>The risks of sexual and other forms of gender-based violence have been further ag</w:t>
      </w:r>
      <w:r w:rsidR="00B763EF" w:rsidRPr="00343052">
        <w:rPr>
          <w:rFonts w:asciiTheme="minorHAnsi" w:hAnsiTheme="minorHAnsi" w:cstheme="majorBidi"/>
          <w:color w:val="000000"/>
          <w:sz w:val="22"/>
          <w:szCs w:val="22"/>
        </w:rPr>
        <w:softHyphen/>
        <w:t>gravated by overcrowding and lack adequate protection measures in the abandoned buildings and other locations where many families have found shelter</w:t>
      </w:r>
      <w:r w:rsidR="00B763EF" w:rsidRPr="00343052">
        <w:rPr>
          <w:rStyle w:val="FootnoteReference"/>
          <w:rFonts w:asciiTheme="minorHAnsi" w:hAnsiTheme="minorHAnsi" w:cstheme="majorBidi"/>
          <w:color w:val="000000"/>
          <w:sz w:val="22"/>
          <w:szCs w:val="22"/>
        </w:rPr>
        <w:footnoteReference w:id="101"/>
      </w:r>
      <w:r w:rsidR="00B763EF" w:rsidRPr="00343052">
        <w:rPr>
          <w:rFonts w:asciiTheme="minorHAnsi" w:hAnsiTheme="minorHAnsi" w:cstheme="majorBidi"/>
          <w:color w:val="000000"/>
          <w:sz w:val="22"/>
          <w:szCs w:val="22"/>
        </w:rPr>
        <w:t xml:space="preserve">. </w:t>
      </w:r>
      <w:r w:rsidR="00AD52E2" w:rsidRPr="00343052">
        <w:rPr>
          <w:rFonts w:asciiTheme="minorHAnsi" w:hAnsiTheme="minorHAnsi" w:cstheme="majorBidi"/>
          <w:color w:val="auto"/>
          <w:sz w:val="22"/>
          <w:szCs w:val="22"/>
        </w:rPr>
        <w:t>T</w:t>
      </w:r>
      <w:r w:rsidR="00B763EF" w:rsidRPr="00343052">
        <w:rPr>
          <w:rFonts w:asciiTheme="minorHAnsi" w:hAnsiTheme="minorHAnsi" w:cstheme="majorBidi"/>
          <w:color w:val="auto"/>
          <w:sz w:val="22"/>
          <w:szCs w:val="22"/>
        </w:rPr>
        <w:t>he presence of armed men contributes to a pervasive fear of sexual violence</w:t>
      </w:r>
      <w:r w:rsidR="00B763EF" w:rsidRPr="00343052">
        <w:rPr>
          <w:rStyle w:val="FootnoteReference"/>
          <w:rFonts w:asciiTheme="minorHAnsi" w:hAnsiTheme="minorHAnsi" w:cstheme="majorBidi"/>
          <w:color w:val="auto"/>
          <w:sz w:val="22"/>
          <w:szCs w:val="22"/>
        </w:rPr>
        <w:footnoteReference w:id="102"/>
      </w:r>
      <w:r w:rsidR="00B763EF" w:rsidRPr="00343052">
        <w:rPr>
          <w:rFonts w:asciiTheme="minorHAnsi" w:hAnsiTheme="minorHAnsi" w:cstheme="majorBidi"/>
          <w:color w:val="auto"/>
          <w:sz w:val="22"/>
          <w:szCs w:val="22"/>
        </w:rPr>
        <w:t>. There are also reports that some families are marrying their girl children to protect them from sexual violence.</w:t>
      </w:r>
      <w:r w:rsidR="00B763EF" w:rsidRPr="00343052">
        <w:rPr>
          <w:rStyle w:val="FootnoteReference"/>
          <w:rFonts w:asciiTheme="minorHAnsi" w:hAnsiTheme="minorHAnsi" w:cstheme="majorBidi"/>
          <w:color w:val="auto"/>
          <w:sz w:val="22"/>
          <w:szCs w:val="22"/>
        </w:rPr>
        <w:footnoteReference w:id="103"/>
      </w:r>
      <w:r w:rsidR="00B763EF" w:rsidRPr="00343052">
        <w:rPr>
          <w:rFonts w:asciiTheme="minorHAnsi" w:hAnsiTheme="minorHAnsi" w:cstheme="majorBidi"/>
          <w:color w:val="auto"/>
          <w:sz w:val="22"/>
          <w:szCs w:val="22"/>
        </w:rPr>
        <w:t xml:space="preserve"> </w:t>
      </w:r>
      <w:r w:rsidR="00F2317C" w:rsidRPr="00343052">
        <w:rPr>
          <w:rFonts w:asciiTheme="minorHAnsi" w:hAnsiTheme="minorHAnsi" w:cstheme="majorBidi"/>
          <w:color w:val="auto"/>
          <w:sz w:val="22"/>
          <w:szCs w:val="22"/>
        </w:rPr>
        <w:t>(</w:t>
      </w:r>
      <w:proofErr w:type="gramStart"/>
      <w:r w:rsidR="00F2317C" w:rsidRPr="00343052">
        <w:rPr>
          <w:rFonts w:asciiTheme="minorHAnsi" w:hAnsiTheme="minorHAnsi" w:cstheme="majorBidi"/>
          <w:color w:val="auto"/>
          <w:sz w:val="22"/>
          <w:szCs w:val="22"/>
        </w:rPr>
        <w:t>see</w:t>
      </w:r>
      <w:proofErr w:type="gramEnd"/>
      <w:r w:rsidR="00F2317C" w:rsidRPr="00343052">
        <w:rPr>
          <w:rFonts w:asciiTheme="minorHAnsi" w:hAnsiTheme="minorHAnsi" w:cstheme="majorBidi"/>
          <w:color w:val="auto"/>
          <w:sz w:val="22"/>
          <w:szCs w:val="22"/>
        </w:rPr>
        <w:t xml:space="preserve"> child marriage)</w:t>
      </w:r>
    </w:p>
    <w:p w:rsidR="00B763EF" w:rsidRPr="00343052" w:rsidRDefault="00B763EF" w:rsidP="00D66F25">
      <w:pPr>
        <w:pStyle w:val="DeskReviewNormal"/>
        <w:spacing w:line="276" w:lineRule="auto"/>
        <w:ind w:left="360"/>
        <w:jc w:val="both"/>
        <w:rPr>
          <w:rFonts w:asciiTheme="minorHAnsi" w:hAnsiTheme="minorHAnsi" w:cstheme="majorBidi"/>
          <w:color w:val="auto"/>
          <w:sz w:val="22"/>
          <w:szCs w:val="22"/>
        </w:rPr>
      </w:pPr>
    </w:p>
    <w:p w:rsidR="00B763EF" w:rsidRPr="00343052" w:rsidRDefault="00A12D55" w:rsidP="00D66F25">
      <w:pPr>
        <w:tabs>
          <w:tab w:val="left" w:pos="540"/>
          <w:tab w:val="left" w:pos="3555"/>
        </w:tabs>
        <w:jc w:val="both"/>
        <w:rPr>
          <w:rFonts w:cstheme="majorBidi"/>
          <w:shd w:val="clear" w:color="auto" w:fill="FFFFFF"/>
        </w:rPr>
      </w:pPr>
      <w:r>
        <w:rPr>
          <w:rFonts w:cstheme="majorBidi"/>
          <w:shd w:val="clear" w:color="auto" w:fill="FFFFFF"/>
        </w:rPr>
        <w:t>U</w:t>
      </w:r>
      <w:r w:rsidR="000E2D37" w:rsidRPr="00343052">
        <w:rPr>
          <w:rFonts w:cstheme="majorBidi"/>
          <w:shd w:val="clear" w:color="auto" w:fill="FFFFFF"/>
        </w:rPr>
        <w:t>nder-reporting has made judging the magnitude of sexual violence difficult</w:t>
      </w:r>
      <w:r w:rsidR="000E2D37" w:rsidRPr="00343052">
        <w:rPr>
          <w:rStyle w:val="FootnoteReference"/>
          <w:rFonts w:cstheme="majorBidi"/>
          <w:shd w:val="clear" w:color="auto" w:fill="FFFFFF"/>
        </w:rPr>
        <w:footnoteReference w:id="104"/>
      </w:r>
      <w:r w:rsidR="0086124B" w:rsidRPr="00343052">
        <w:rPr>
          <w:rFonts w:cstheme="majorBidi"/>
          <w:shd w:val="clear" w:color="auto" w:fill="FFFFFF"/>
        </w:rPr>
        <w:t>, to date Human Rights Watch has documented 600 rape cases but the actual number is likely to be much higher</w:t>
      </w:r>
      <w:r w:rsidR="0086124B" w:rsidRPr="00343052">
        <w:rPr>
          <w:rStyle w:val="FootnoteReference"/>
          <w:rFonts w:cstheme="majorBidi"/>
          <w:shd w:val="clear" w:color="auto" w:fill="FFFFFF"/>
        </w:rPr>
        <w:footnoteReference w:id="105"/>
      </w:r>
      <w:r w:rsidR="0086124B" w:rsidRPr="00343052">
        <w:rPr>
          <w:rFonts w:cstheme="majorBidi"/>
          <w:shd w:val="clear" w:color="auto" w:fill="FFFFFF"/>
        </w:rPr>
        <w:t>.</w:t>
      </w:r>
      <w:r w:rsidR="000E2D37" w:rsidRPr="00343052">
        <w:rPr>
          <w:rFonts w:cstheme="majorBidi"/>
          <w:shd w:val="clear" w:color="auto" w:fill="FFFFFF"/>
        </w:rPr>
        <w:t xml:space="preserve"> The highly sensitive and heav</w:t>
      </w:r>
      <w:r w:rsidR="0065067F" w:rsidRPr="00343052">
        <w:rPr>
          <w:rFonts w:cstheme="majorBidi"/>
          <w:shd w:val="clear" w:color="auto" w:fill="FFFFFF"/>
        </w:rPr>
        <w:t>il</w:t>
      </w:r>
      <w:r w:rsidR="000E2D37" w:rsidRPr="00343052">
        <w:rPr>
          <w:rFonts w:cstheme="majorBidi"/>
          <w:shd w:val="clear" w:color="auto" w:fill="FFFFFF"/>
        </w:rPr>
        <w:t xml:space="preserve">y stigmatised nature of sexual violence is further </w:t>
      </w:r>
      <w:r w:rsidR="00F2317C" w:rsidRPr="00343052">
        <w:rPr>
          <w:rFonts w:cstheme="majorBidi"/>
          <w:shd w:val="clear" w:color="auto" w:fill="FFFFFF"/>
        </w:rPr>
        <w:t>exacerbated by</w:t>
      </w:r>
      <w:r w:rsidR="00B763EF" w:rsidRPr="00343052">
        <w:rPr>
          <w:rFonts w:cstheme="majorBidi"/>
          <w:shd w:val="clear" w:color="auto" w:fill="FFFFFF"/>
        </w:rPr>
        <w:t xml:space="preserve"> </w:t>
      </w:r>
      <w:r w:rsidR="00F2317C" w:rsidRPr="00343052">
        <w:rPr>
          <w:rFonts w:cstheme="majorBidi"/>
          <w:shd w:val="clear" w:color="auto" w:fill="FFFFFF"/>
        </w:rPr>
        <w:t>the</w:t>
      </w:r>
      <w:r w:rsidR="001B1A23" w:rsidRPr="00343052">
        <w:rPr>
          <w:rFonts w:cstheme="majorBidi"/>
          <w:shd w:val="clear" w:color="auto" w:fill="FFFFFF"/>
        </w:rPr>
        <w:t xml:space="preserve"> </w:t>
      </w:r>
      <w:r w:rsidR="000E2D37" w:rsidRPr="00343052">
        <w:rPr>
          <w:rFonts w:cstheme="majorBidi"/>
          <w:shd w:val="clear" w:color="auto" w:fill="FFFFFF"/>
        </w:rPr>
        <w:t>absence</w:t>
      </w:r>
      <w:r w:rsidR="0065067F" w:rsidRPr="00343052">
        <w:rPr>
          <w:rFonts w:cstheme="majorBidi"/>
          <w:shd w:val="clear" w:color="auto" w:fill="FFFFFF"/>
        </w:rPr>
        <w:t xml:space="preserve"> of </w:t>
      </w:r>
      <w:r w:rsidR="00B763EF" w:rsidRPr="00343052">
        <w:rPr>
          <w:rFonts w:cstheme="majorBidi"/>
          <w:shd w:val="clear" w:color="auto" w:fill="FFFFFF"/>
        </w:rPr>
        <w:t>specialised, safe and confidential response services.</w:t>
      </w:r>
      <w:r w:rsidR="00B763EF" w:rsidRPr="00343052">
        <w:rPr>
          <w:rFonts w:cstheme="majorBidi"/>
          <w:color w:val="4F81BD" w:themeColor="accent1"/>
          <w:shd w:val="clear" w:color="auto" w:fill="FFFFFF"/>
        </w:rPr>
        <w:t xml:space="preserve"> </w:t>
      </w:r>
      <w:r w:rsidR="001B1A23" w:rsidRPr="00343052">
        <w:rPr>
          <w:rFonts w:cstheme="majorBidi"/>
          <w:shd w:val="clear" w:color="auto" w:fill="FFFFFF"/>
        </w:rPr>
        <w:t>Even when services are available, survivors are reluctant to report sexual violence due to feelings of shame, fear of stigma, social exclusion, honour killings or reprisals</w:t>
      </w:r>
      <w:r w:rsidR="001B1A23" w:rsidRPr="00343052">
        <w:rPr>
          <w:rStyle w:val="FootnoteReference"/>
          <w:rFonts w:cstheme="majorBidi"/>
          <w:shd w:val="clear" w:color="auto" w:fill="FFFFFF"/>
        </w:rPr>
        <w:footnoteReference w:id="106"/>
      </w:r>
      <w:r w:rsidR="001B1A23" w:rsidRPr="00343052">
        <w:rPr>
          <w:rFonts w:cstheme="majorBidi"/>
          <w:shd w:val="clear" w:color="auto" w:fill="FFFFFF"/>
        </w:rPr>
        <w:t xml:space="preserve">. </w:t>
      </w:r>
      <w:r w:rsidR="00B763EF" w:rsidRPr="00343052">
        <w:rPr>
          <w:rFonts w:cstheme="majorBidi"/>
          <w:shd w:val="clear" w:color="auto" w:fill="FFFFFF"/>
        </w:rPr>
        <w:t xml:space="preserve">Some victims have </w:t>
      </w:r>
      <w:r w:rsidR="00EA5305" w:rsidRPr="00343052">
        <w:rPr>
          <w:rFonts w:cstheme="majorBidi"/>
          <w:shd w:val="clear" w:color="auto" w:fill="FFFFFF"/>
        </w:rPr>
        <w:t xml:space="preserve">also </w:t>
      </w:r>
      <w:r w:rsidR="00B763EF" w:rsidRPr="00343052">
        <w:rPr>
          <w:rFonts w:cstheme="majorBidi"/>
          <w:shd w:val="clear" w:color="auto" w:fill="FFFFFF"/>
        </w:rPr>
        <w:t>expressed reluctance to inform their</w:t>
      </w:r>
      <w:r w:rsidR="0065067F" w:rsidRPr="00343052">
        <w:rPr>
          <w:rFonts w:cstheme="majorBidi"/>
          <w:shd w:val="clear" w:color="auto" w:fill="FFFFFF"/>
        </w:rPr>
        <w:t xml:space="preserve"> families due to the aforementioned reasons.</w:t>
      </w:r>
      <w:r w:rsidR="00B763EF" w:rsidRPr="00343052">
        <w:rPr>
          <w:rStyle w:val="FootnoteReference"/>
          <w:rFonts w:cstheme="majorBidi"/>
          <w:shd w:val="clear" w:color="auto" w:fill="FFFFFF"/>
        </w:rPr>
        <w:footnoteReference w:id="107"/>
      </w:r>
      <w:r w:rsidR="00B763EF" w:rsidRPr="00343052">
        <w:rPr>
          <w:rFonts w:cstheme="majorBidi"/>
          <w:shd w:val="clear" w:color="auto" w:fill="FFFFFF"/>
        </w:rPr>
        <w:t xml:space="preserve"> </w:t>
      </w:r>
    </w:p>
    <w:p w:rsidR="00714D83" w:rsidRPr="00343052" w:rsidRDefault="00714D83" w:rsidP="009026E5">
      <w:pPr>
        <w:pStyle w:val="DeskReviewNormal"/>
        <w:spacing w:line="276" w:lineRule="auto"/>
        <w:jc w:val="both"/>
        <w:rPr>
          <w:rFonts w:asciiTheme="minorHAnsi" w:hAnsiTheme="minorHAnsi" w:cstheme="majorBidi"/>
          <w:color w:val="000000"/>
          <w:sz w:val="22"/>
          <w:szCs w:val="22"/>
        </w:rPr>
      </w:pPr>
      <w:r w:rsidRPr="00343052">
        <w:rPr>
          <w:rFonts w:asciiTheme="minorHAnsi" w:hAnsiTheme="minorHAnsi" w:cstheme="majorBidi"/>
          <w:color w:val="000000"/>
          <w:sz w:val="22"/>
          <w:szCs w:val="22"/>
        </w:rPr>
        <w:lastRenderedPageBreak/>
        <w:t>There is risk tha</w:t>
      </w:r>
      <w:r w:rsidR="0065067F" w:rsidRPr="00343052">
        <w:rPr>
          <w:rFonts w:asciiTheme="minorHAnsi" w:hAnsiTheme="minorHAnsi" w:cstheme="majorBidi"/>
          <w:color w:val="000000"/>
          <w:sz w:val="22"/>
          <w:szCs w:val="22"/>
        </w:rPr>
        <w:t>t sexual violence will increase</w:t>
      </w:r>
      <w:r w:rsidRPr="00343052">
        <w:rPr>
          <w:rFonts w:asciiTheme="minorHAnsi" w:hAnsiTheme="minorHAnsi" w:cstheme="majorBidi"/>
          <w:color w:val="000000"/>
          <w:sz w:val="22"/>
          <w:szCs w:val="22"/>
        </w:rPr>
        <w:t xml:space="preserve"> with the proliferation of small arms, and the growing number of armed groups often operating under unclear command structure. </w:t>
      </w:r>
      <w:r w:rsidR="009026E5" w:rsidRPr="00343052">
        <w:rPr>
          <w:rStyle w:val="FootnoteReference"/>
          <w:rFonts w:asciiTheme="minorHAnsi" w:hAnsiTheme="minorHAnsi" w:cstheme="majorBidi"/>
          <w:color w:val="000000"/>
          <w:sz w:val="22"/>
          <w:szCs w:val="22"/>
        </w:rPr>
        <w:footnoteReference w:id="108"/>
      </w:r>
    </w:p>
    <w:p w:rsidR="00B763EF" w:rsidRPr="00343052" w:rsidRDefault="00B763EF" w:rsidP="00D66F25">
      <w:pPr>
        <w:pStyle w:val="DeskReviewNormal"/>
        <w:spacing w:line="276" w:lineRule="auto"/>
        <w:jc w:val="both"/>
        <w:rPr>
          <w:rFonts w:asciiTheme="minorHAnsi" w:hAnsiTheme="minorHAnsi" w:cstheme="majorBidi"/>
          <w:color w:val="auto"/>
          <w:sz w:val="22"/>
          <w:szCs w:val="22"/>
        </w:rPr>
      </w:pPr>
    </w:p>
    <w:p w:rsidR="00EA5305" w:rsidRPr="00380A79" w:rsidRDefault="00EA5305" w:rsidP="00D66F25">
      <w:pPr>
        <w:pStyle w:val="DeskReviewNormal"/>
        <w:spacing w:line="276" w:lineRule="auto"/>
        <w:jc w:val="both"/>
        <w:rPr>
          <w:rFonts w:asciiTheme="minorHAnsi" w:hAnsiTheme="minorHAnsi" w:cstheme="majorBidi"/>
          <w:color w:val="auto"/>
          <w:sz w:val="24"/>
          <w:szCs w:val="24"/>
        </w:rPr>
      </w:pPr>
    </w:p>
    <w:p w:rsidR="00DF5A94" w:rsidRPr="00380A79" w:rsidRDefault="00DF5A94" w:rsidP="008212D4">
      <w:pPr>
        <w:pStyle w:val="ListParagraph"/>
        <w:numPr>
          <w:ilvl w:val="0"/>
          <w:numId w:val="47"/>
        </w:numPr>
        <w:tabs>
          <w:tab w:val="left" w:pos="1072"/>
        </w:tabs>
        <w:spacing w:after="0"/>
        <w:ind w:firstLine="0"/>
        <w:jc w:val="both"/>
        <w:outlineLvl w:val="1"/>
        <w:rPr>
          <w:rFonts w:cstheme="majorBidi"/>
          <w:b/>
          <w:bCs/>
          <w:i/>
          <w:iCs/>
          <w:color w:val="1F497D" w:themeColor="text2"/>
          <w:sz w:val="24"/>
          <w:szCs w:val="24"/>
          <w:u w:val="single"/>
        </w:rPr>
      </w:pPr>
      <w:bookmarkStart w:id="26" w:name="_Toc367720292"/>
      <w:r w:rsidRPr="00380A79">
        <w:rPr>
          <w:rFonts w:cstheme="majorBidi"/>
          <w:b/>
          <w:bCs/>
          <w:i/>
          <w:iCs/>
          <w:color w:val="1F497D" w:themeColor="text2"/>
          <w:sz w:val="24"/>
          <w:szCs w:val="24"/>
          <w:u w:val="single"/>
        </w:rPr>
        <w:t>Child marriage</w:t>
      </w:r>
      <w:bookmarkEnd w:id="26"/>
      <w:r w:rsidRPr="00380A79">
        <w:rPr>
          <w:rFonts w:cstheme="majorBidi"/>
          <w:b/>
          <w:bCs/>
          <w:i/>
          <w:iCs/>
          <w:color w:val="1F497D" w:themeColor="text2"/>
          <w:sz w:val="24"/>
          <w:szCs w:val="24"/>
          <w:u w:val="single"/>
        </w:rPr>
        <w:t xml:space="preserve"> </w:t>
      </w:r>
    </w:p>
    <w:p w:rsidR="00465A9C" w:rsidRPr="00343052" w:rsidRDefault="00465A9C" w:rsidP="00380A79">
      <w:pPr>
        <w:pStyle w:val="DeskReview2"/>
        <w:numPr>
          <w:ilvl w:val="1"/>
          <w:numId w:val="35"/>
        </w:numPr>
        <w:spacing w:line="276" w:lineRule="auto"/>
        <w:ind w:left="0" w:firstLine="0"/>
        <w:jc w:val="both"/>
        <w:outlineLvl w:val="2"/>
        <w:rPr>
          <w:rFonts w:asciiTheme="minorHAnsi" w:hAnsiTheme="minorHAnsi" w:cstheme="majorBidi"/>
          <w:bCs/>
          <w:i/>
          <w:iCs/>
          <w:color w:val="1F497D" w:themeColor="text2"/>
          <w:sz w:val="22"/>
          <w:szCs w:val="22"/>
        </w:rPr>
      </w:pPr>
      <w:bookmarkStart w:id="27" w:name="_Toc358663772"/>
      <w:bookmarkStart w:id="28" w:name="_Toc367720293"/>
      <w:r w:rsidRPr="00343052">
        <w:rPr>
          <w:rFonts w:asciiTheme="minorHAnsi" w:hAnsiTheme="minorHAnsi" w:cstheme="majorBidi"/>
          <w:bCs/>
          <w:i/>
          <w:iCs/>
          <w:color w:val="1F497D" w:themeColor="text2"/>
          <w:sz w:val="22"/>
          <w:szCs w:val="22"/>
        </w:rPr>
        <w:t>Understanding of the issue before the conflict</w:t>
      </w:r>
      <w:bookmarkEnd w:id="27"/>
      <w:bookmarkEnd w:id="28"/>
    </w:p>
    <w:p w:rsidR="004F5E7F" w:rsidRPr="00343052" w:rsidRDefault="004F5E7F" w:rsidP="00D66F25">
      <w:pPr>
        <w:jc w:val="both"/>
        <w:rPr>
          <w:rFonts w:cstheme="majorBidi"/>
        </w:rPr>
      </w:pPr>
      <w:r w:rsidRPr="00343052">
        <w:rPr>
          <w:rFonts w:cstheme="majorBidi"/>
        </w:rPr>
        <w:t xml:space="preserve">Disparity exists between the minimum age for marriage for boys (18) and girls (17) provided by the Personal Status Code for 1957. </w:t>
      </w:r>
      <w:r w:rsidR="00AA6C53" w:rsidRPr="00343052">
        <w:rPr>
          <w:rFonts w:cstheme="majorBidi"/>
        </w:rPr>
        <w:t>T</w:t>
      </w:r>
      <w:r w:rsidRPr="00343052">
        <w:rPr>
          <w:rFonts w:cstheme="majorBidi"/>
        </w:rPr>
        <w:t>he Personal Status Code authorises earlier marriages by allowing judges to lower the age of marriage for boys to 15 years and girls to 13 years if they are considered willing parties to the marriage, “physically mature”, and if the father or grandfather consents.</w:t>
      </w:r>
      <w:r w:rsidR="00AA6C53" w:rsidRPr="00343052">
        <w:rPr>
          <w:rStyle w:val="FootnoteReference"/>
          <w:rFonts w:cstheme="majorBidi"/>
        </w:rPr>
        <w:footnoteReference w:id="109"/>
      </w:r>
      <w:r w:rsidRPr="00343052">
        <w:rPr>
          <w:rFonts w:cstheme="majorBidi"/>
        </w:rPr>
        <w:t xml:space="preserve"> </w:t>
      </w:r>
    </w:p>
    <w:p w:rsidR="004F5E7F" w:rsidRPr="00343052" w:rsidRDefault="00DC0B00" w:rsidP="00380A79">
      <w:pPr>
        <w:jc w:val="both"/>
        <w:rPr>
          <w:rFonts w:cstheme="majorBidi"/>
          <w:lang w:val="en-US"/>
        </w:rPr>
      </w:pPr>
      <w:r w:rsidRPr="00343052">
        <w:rPr>
          <w:rFonts w:cstheme="majorBidi"/>
          <w:lang w:val="en-US"/>
        </w:rPr>
        <w:t>In 2003, a report by ECPAT</w:t>
      </w:r>
      <w:r w:rsidR="00533479" w:rsidRPr="00343052">
        <w:rPr>
          <w:rFonts w:cstheme="majorBidi"/>
          <w:lang w:val="en-US"/>
        </w:rPr>
        <w:t xml:space="preserve"> mentions that almost a quarter of girls between 15-19 years are married</w:t>
      </w:r>
      <w:r w:rsidRPr="00343052">
        <w:rPr>
          <w:rFonts w:cstheme="majorBidi"/>
          <w:lang w:val="en-US"/>
        </w:rPr>
        <w:t>, with 7% having married before the age of 15</w:t>
      </w:r>
      <w:r w:rsidR="00533479" w:rsidRPr="00343052">
        <w:rPr>
          <w:rFonts w:cstheme="majorBidi"/>
          <w:lang w:val="en-US"/>
        </w:rPr>
        <w:t xml:space="preserve">. </w:t>
      </w:r>
      <w:r w:rsidRPr="00343052">
        <w:rPr>
          <w:rFonts w:cstheme="majorBidi"/>
          <w:lang w:val="en-US"/>
        </w:rPr>
        <w:t xml:space="preserve">The </w:t>
      </w:r>
      <w:r w:rsidR="004F5E7F" w:rsidRPr="00343052">
        <w:rPr>
          <w:rFonts w:cstheme="majorBidi"/>
          <w:lang w:val="en-US"/>
        </w:rPr>
        <w:t>2006 MISC III findings indicate 3.4% of women are married before they are 15 years</w:t>
      </w:r>
      <w:r w:rsidR="00F86A9D" w:rsidRPr="00343052">
        <w:rPr>
          <w:rFonts w:cstheme="majorBidi"/>
          <w:lang w:val="en-US"/>
        </w:rPr>
        <w:t>, and 13% by 18 years</w:t>
      </w:r>
      <w:r w:rsidR="004F5E7F" w:rsidRPr="00343052">
        <w:rPr>
          <w:rFonts w:cstheme="majorBidi"/>
          <w:lang w:val="en-US"/>
        </w:rPr>
        <w:t xml:space="preserve">. The percentage </w:t>
      </w:r>
      <w:r w:rsidR="00F86A9D" w:rsidRPr="00343052">
        <w:rPr>
          <w:rFonts w:cstheme="majorBidi"/>
          <w:lang w:val="en-US"/>
        </w:rPr>
        <w:t xml:space="preserve">for before 15 </w:t>
      </w:r>
      <w:proofErr w:type="gramStart"/>
      <w:r w:rsidR="00F86A9D" w:rsidRPr="00343052">
        <w:rPr>
          <w:rFonts w:cstheme="majorBidi"/>
          <w:lang w:val="en-US"/>
        </w:rPr>
        <w:t>years,</w:t>
      </w:r>
      <w:proofErr w:type="gramEnd"/>
      <w:r w:rsidR="00F86A9D" w:rsidRPr="00343052">
        <w:rPr>
          <w:rFonts w:cstheme="majorBidi"/>
          <w:lang w:val="en-US"/>
        </w:rPr>
        <w:t xml:space="preserve"> </w:t>
      </w:r>
      <w:r w:rsidR="004F5E7F" w:rsidRPr="00343052">
        <w:rPr>
          <w:rFonts w:cstheme="majorBidi"/>
          <w:lang w:val="en-US"/>
        </w:rPr>
        <w:t xml:space="preserve">varies at the governorate level with the highest levels in </w:t>
      </w:r>
      <w:proofErr w:type="spellStart"/>
      <w:r w:rsidR="004F5E7F" w:rsidRPr="00343052">
        <w:rPr>
          <w:rFonts w:cstheme="majorBidi"/>
          <w:lang w:val="en-US"/>
        </w:rPr>
        <w:t>Dar’a</w:t>
      </w:r>
      <w:proofErr w:type="spellEnd"/>
      <w:r w:rsidR="004F5E7F" w:rsidRPr="00343052">
        <w:rPr>
          <w:rFonts w:cstheme="majorBidi"/>
          <w:lang w:val="en-US"/>
        </w:rPr>
        <w:t xml:space="preserve"> at 5.2% and the lowest in </w:t>
      </w:r>
      <w:proofErr w:type="spellStart"/>
      <w:r w:rsidR="004F5E7F" w:rsidRPr="00343052">
        <w:rPr>
          <w:rFonts w:cstheme="majorBidi"/>
          <w:lang w:val="en-US"/>
        </w:rPr>
        <w:t>Tort</w:t>
      </w:r>
      <w:r w:rsidR="00CE3471">
        <w:rPr>
          <w:rFonts w:cstheme="majorBidi"/>
          <w:lang w:val="en-US"/>
        </w:rPr>
        <w:t>o</w:t>
      </w:r>
      <w:r w:rsidR="004F5E7F" w:rsidRPr="00343052">
        <w:rPr>
          <w:rFonts w:cstheme="majorBidi"/>
          <w:lang w:val="en-US"/>
        </w:rPr>
        <w:t>us</w:t>
      </w:r>
      <w:proofErr w:type="spellEnd"/>
      <w:r w:rsidR="004F5E7F" w:rsidRPr="00343052">
        <w:rPr>
          <w:rFonts w:cstheme="majorBidi"/>
          <w:lang w:val="en-US"/>
        </w:rPr>
        <w:t xml:space="preserve"> at 1.1%. The percentage declines with higher educational attainment and is more prevalent outside of main cities.</w:t>
      </w:r>
      <w:r w:rsidR="004F5E7F" w:rsidRPr="00343052">
        <w:rPr>
          <w:rFonts w:cstheme="majorBidi"/>
          <w:color w:val="4F81BD" w:themeColor="accent1"/>
          <w:lang w:val="en-US"/>
        </w:rPr>
        <w:t xml:space="preserve">  </w:t>
      </w:r>
      <w:r w:rsidR="004F5E7F" w:rsidRPr="00343052">
        <w:rPr>
          <w:rFonts w:cstheme="majorBidi"/>
          <w:lang w:val="en-US"/>
        </w:rPr>
        <w:t>Attitudinal changes have been observed among youth, but at a varied pace. Poverty and traditional cultural beliefs and practices, such as the high value attached to a girl’s virginity and interfamilial marriages at an early marriage, are the highest ranking reasons for child marriage.</w:t>
      </w:r>
      <w:r w:rsidR="00380A79" w:rsidRPr="00380A79">
        <w:rPr>
          <w:rStyle w:val="FootnoteReference"/>
          <w:rFonts w:cstheme="majorBidi"/>
          <w:lang w:val="en-US"/>
        </w:rPr>
        <w:t xml:space="preserve"> </w:t>
      </w:r>
      <w:r w:rsidR="00380A79" w:rsidRPr="00343052">
        <w:rPr>
          <w:rStyle w:val="FootnoteReference"/>
          <w:rFonts w:cstheme="majorBidi"/>
          <w:lang w:val="en-US"/>
        </w:rPr>
        <w:footnoteReference w:id="110"/>
      </w:r>
      <w:r w:rsidR="004F5E7F" w:rsidRPr="00343052">
        <w:rPr>
          <w:rFonts w:cstheme="majorBidi"/>
          <w:lang w:val="en-US"/>
        </w:rPr>
        <w:t xml:space="preserve"> </w:t>
      </w:r>
    </w:p>
    <w:p w:rsidR="0014014E" w:rsidRPr="0016387D" w:rsidRDefault="00415AB8" w:rsidP="0016387D">
      <w:pPr>
        <w:spacing w:after="0" w:line="240" w:lineRule="auto"/>
        <w:jc w:val="both"/>
        <w:rPr>
          <w:rFonts w:cs="Times New Roman"/>
          <w:b/>
        </w:rPr>
      </w:pPr>
      <w:r w:rsidRPr="0016387D">
        <w:rPr>
          <w:rFonts w:cs="Times New Roman"/>
        </w:rPr>
        <w:t xml:space="preserve">A </w:t>
      </w:r>
      <w:r w:rsidR="0014014E" w:rsidRPr="0016387D">
        <w:rPr>
          <w:rFonts w:cs="Times New Roman"/>
        </w:rPr>
        <w:t xml:space="preserve">study conducted in </w:t>
      </w:r>
      <w:r>
        <w:rPr>
          <w:rFonts w:cs="Times New Roman"/>
        </w:rPr>
        <w:t>2012</w:t>
      </w:r>
      <w:r w:rsidRPr="0016387D">
        <w:rPr>
          <w:rFonts w:cs="Times New Roman"/>
        </w:rPr>
        <w:t xml:space="preserve"> of women and girls</w:t>
      </w:r>
      <w:r w:rsidR="0014014E" w:rsidRPr="0016387D">
        <w:rPr>
          <w:rFonts w:cs="Times New Roman"/>
        </w:rPr>
        <w:t xml:space="preserve">, </w:t>
      </w:r>
      <w:r w:rsidRPr="0016387D">
        <w:rPr>
          <w:rFonts w:cs="Times New Roman"/>
        </w:rPr>
        <w:t>found half of those surveyed who had never been married, asserted that the decision to choose their partner was not their decision alone, and half of those surveyed who are married or had been married stated the decision to marry was taken by their parents, and sometimes other males within the family (grandfather, uncle, brother).</w:t>
      </w:r>
      <w:r>
        <w:rPr>
          <w:rStyle w:val="FootnoteReference"/>
          <w:rFonts w:cs="Times New Roman"/>
        </w:rPr>
        <w:footnoteReference w:id="111"/>
      </w:r>
      <w:r w:rsidRPr="0016387D">
        <w:rPr>
          <w:rFonts w:cs="Times New Roman"/>
        </w:rPr>
        <w:t xml:space="preserve"> </w:t>
      </w:r>
    </w:p>
    <w:p w:rsidR="0014014E" w:rsidRDefault="0014014E" w:rsidP="00EB327A">
      <w:pPr>
        <w:pStyle w:val="DeskReview2"/>
        <w:numPr>
          <w:ilvl w:val="0"/>
          <w:numId w:val="0"/>
        </w:numPr>
        <w:spacing w:line="276" w:lineRule="auto"/>
        <w:jc w:val="both"/>
        <w:rPr>
          <w:rFonts w:asciiTheme="minorHAnsi" w:hAnsiTheme="minorHAnsi" w:cstheme="majorBidi"/>
          <w:b w:val="0"/>
          <w:color w:val="auto"/>
          <w:sz w:val="22"/>
          <w:szCs w:val="22"/>
          <w:lang w:val="en-US"/>
        </w:rPr>
      </w:pPr>
    </w:p>
    <w:p w:rsidR="00EB327A" w:rsidRPr="00343052" w:rsidRDefault="00EB327A" w:rsidP="00EB327A">
      <w:pPr>
        <w:pStyle w:val="DeskReview2"/>
        <w:numPr>
          <w:ilvl w:val="0"/>
          <w:numId w:val="0"/>
        </w:numPr>
        <w:spacing w:line="276" w:lineRule="auto"/>
        <w:jc w:val="both"/>
        <w:rPr>
          <w:rFonts w:asciiTheme="minorHAnsi" w:hAnsiTheme="minorHAnsi" w:cstheme="majorBidi"/>
          <w:b w:val="0"/>
          <w:color w:val="auto"/>
          <w:sz w:val="22"/>
          <w:szCs w:val="22"/>
          <w:lang w:val="en-US"/>
        </w:rPr>
      </w:pPr>
      <w:r w:rsidRPr="00343052">
        <w:rPr>
          <w:rFonts w:asciiTheme="minorHAnsi" w:hAnsiTheme="minorHAnsi" w:cstheme="majorBidi"/>
          <w:b w:val="0"/>
          <w:color w:val="auto"/>
          <w:sz w:val="22"/>
          <w:szCs w:val="22"/>
          <w:lang w:val="en-US"/>
        </w:rPr>
        <w:t xml:space="preserve">See worst forms of </w:t>
      </w:r>
      <w:proofErr w:type="spellStart"/>
      <w:r w:rsidRPr="00343052">
        <w:rPr>
          <w:rFonts w:asciiTheme="minorHAnsi" w:hAnsiTheme="minorHAnsi" w:cstheme="majorBidi"/>
          <w:b w:val="0"/>
          <w:color w:val="auto"/>
          <w:sz w:val="22"/>
          <w:szCs w:val="22"/>
          <w:lang w:val="en-US"/>
        </w:rPr>
        <w:t>labour</w:t>
      </w:r>
      <w:proofErr w:type="spellEnd"/>
      <w:r w:rsidRPr="00343052">
        <w:rPr>
          <w:rFonts w:asciiTheme="minorHAnsi" w:hAnsiTheme="minorHAnsi" w:cstheme="majorBidi"/>
          <w:b w:val="0"/>
          <w:color w:val="auto"/>
          <w:sz w:val="22"/>
          <w:szCs w:val="22"/>
          <w:lang w:val="en-US"/>
        </w:rPr>
        <w:t xml:space="preserve"> for trafficking and child marriage</w:t>
      </w:r>
    </w:p>
    <w:p w:rsidR="00EB327A" w:rsidRPr="00343052" w:rsidRDefault="00EB327A" w:rsidP="00D66F25">
      <w:pPr>
        <w:jc w:val="both"/>
        <w:rPr>
          <w:rFonts w:cstheme="majorBidi"/>
          <w:lang w:val="en-US"/>
        </w:rPr>
      </w:pPr>
    </w:p>
    <w:p w:rsidR="004F5E7F" w:rsidRPr="00343052" w:rsidRDefault="004F5E7F" w:rsidP="00D66F25">
      <w:pPr>
        <w:pStyle w:val="Heading3"/>
        <w:jc w:val="both"/>
        <w:rPr>
          <w:rFonts w:asciiTheme="minorHAnsi" w:eastAsia="MS Mincho" w:hAnsiTheme="minorHAnsi"/>
          <w:i/>
          <w:iCs/>
          <w:color w:val="1F497D" w:themeColor="text2"/>
        </w:rPr>
      </w:pPr>
      <w:r w:rsidRPr="00343052">
        <w:rPr>
          <w:rFonts w:asciiTheme="minorHAnsi" w:eastAsia="MS Mincho" w:hAnsiTheme="minorHAnsi"/>
          <w:i/>
          <w:iCs/>
          <w:color w:val="1F497D" w:themeColor="text2"/>
        </w:rPr>
        <w:t xml:space="preserve"> </w:t>
      </w:r>
      <w:bookmarkStart w:id="29" w:name="_Toc358663773"/>
      <w:bookmarkStart w:id="30" w:name="_Toc367720294"/>
      <w:r w:rsidRPr="00343052">
        <w:rPr>
          <w:rFonts w:asciiTheme="minorHAnsi" w:eastAsia="MS Mincho" w:hAnsiTheme="minorHAnsi"/>
          <w:i/>
          <w:iCs/>
          <w:color w:val="1F497D" w:themeColor="text2"/>
        </w:rPr>
        <w:t>6.2 Understanding of the issue since the onset of the conflict</w:t>
      </w:r>
      <w:bookmarkEnd w:id="29"/>
      <w:bookmarkEnd w:id="30"/>
    </w:p>
    <w:p w:rsidR="004F5E7F" w:rsidRPr="00343052" w:rsidRDefault="004F5E7F" w:rsidP="00A12D55">
      <w:pPr>
        <w:tabs>
          <w:tab w:val="left" w:pos="1072"/>
        </w:tabs>
        <w:jc w:val="both"/>
        <w:rPr>
          <w:rFonts w:cstheme="majorBidi"/>
          <w:color w:val="000000"/>
        </w:rPr>
      </w:pPr>
      <w:r w:rsidRPr="00343052">
        <w:rPr>
          <w:rFonts w:cstheme="majorBidi"/>
          <w:color w:val="000000" w:themeColor="text1"/>
        </w:rPr>
        <w:t xml:space="preserve">Since the onset of the conflict, there have been reports </w:t>
      </w:r>
      <w:r w:rsidRPr="00343052">
        <w:rPr>
          <w:rFonts w:cstheme="majorBidi"/>
        </w:rPr>
        <w:t xml:space="preserve">of an upward trend in child marriages, although the scope remains unknown. </w:t>
      </w:r>
      <w:r w:rsidRPr="00343052">
        <w:rPr>
          <w:rFonts w:cstheme="majorBidi"/>
          <w:color w:val="000000"/>
        </w:rPr>
        <w:t>Earl</w:t>
      </w:r>
      <w:r w:rsidR="00A12D55">
        <w:rPr>
          <w:rFonts w:cstheme="majorBidi"/>
          <w:color w:val="000000"/>
        </w:rPr>
        <w:t xml:space="preserve">y and forced marriage of girls </w:t>
      </w:r>
      <w:r w:rsidRPr="00343052">
        <w:rPr>
          <w:rFonts w:cstheme="majorBidi"/>
          <w:color w:val="000000"/>
        </w:rPr>
        <w:t>may be used by some families to better ‘protect’ girls in the absence of male family members.</w:t>
      </w:r>
      <w:r w:rsidRPr="00343052">
        <w:rPr>
          <w:rStyle w:val="A4"/>
          <w:rFonts w:cstheme="majorBidi"/>
          <w:sz w:val="22"/>
          <w:szCs w:val="22"/>
        </w:rPr>
        <w:t xml:space="preserve"> </w:t>
      </w:r>
      <w:r w:rsidRPr="00343052">
        <w:rPr>
          <w:rFonts w:cstheme="majorBidi"/>
          <w:color w:val="000000"/>
        </w:rPr>
        <w:t>Child marriage may be used to lessen the financial burden on families as their displacement lengthens. With the majority of the displaced now unemployed and dependent on family savings, the deteriorating economic situation is putting additional pressure on families to reduce their number of dependents</w:t>
      </w:r>
      <w:r w:rsidR="00975ACD" w:rsidRPr="00343052">
        <w:rPr>
          <w:rFonts w:cstheme="majorBidi"/>
          <w:color w:val="000000"/>
        </w:rPr>
        <w:t>.</w:t>
      </w:r>
      <w:r w:rsidRPr="00343052">
        <w:rPr>
          <w:rStyle w:val="FootnoteReference"/>
          <w:rFonts w:cstheme="majorBidi"/>
          <w:color w:val="000000"/>
        </w:rPr>
        <w:footnoteReference w:id="112"/>
      </w:r>
    </w:p>
    <w:p w:rsidR="004F5E7F" w:rsidRPr="00343052" w:rsidRDefault="00F2317C" w:rsidP="00A12D55">
      <w:pPr>
        <w:tabs>
          <w:tab w:val="left" w:pos="1072"/>
        </w:tabs>
        <w:jc w:val="both"/>
        <w:rPr>
          <w:rFonts w:cstheme="majorBidi"/>
          <w:shd w:val="clear" w:color="auto" w:fill="FFFFFF"/>
        </w:rPr>
      </w:pPr>
      <w:r w:rsidRPr="00343052">
        <w:rPr>
          <w:rFonts w:cstheme="majorBidi"/>
          <w:shd w:val="clear" w:color="auto" w:fill="FFFFFF"/>
        </w:rPr>
        <w:t xml:space="preserve">Concern has been expressed </w:t>
      </w:r>
      <w:r w:rsidR="00AA6C53" w:rsidRPr="00343052">
        <w:rPr>
          <w:rFonts w:cstheme="majorBidi"/>
          <w:shd w:val="clear" w:color="auto" w:fill="FFFFFF"/>
        </w:rPr>
        <w:t>regarding the</w:t>
      </w:r>
      <w:r w:rsidRPr="00343052">
        <w:rPr>
          <w:rFonts w:cstheme="majorBidi"/>
          <w:shd w:val="clear" w:color="auto" w:fill="FFFFFF"/>
        </w:rPr>
        <w:t xml:space="preserve"> </w:t>
      </w:r>
      <w:r w:rsidR="004F5E7F" w:rsidRPr="00343052">
        <w:rPr>
          <w:rFonts w:cstheme="majorBidi"/>
          <w:shd w:val="clear" w:color="auto" w:fill="FFFFFF"/>
        </w:rPr>
        <w:t>risk</w:t>
      </w:r>
      <w:r w:rsidR="00A12D55">
        <w:rPr>
          <w:rFonts w:cstheme="majorBidi"/>
          <w:shd w:val="clear" w:color="auto" w:fill="FFFFFF"/>
        </w:rPr>
        <w:t>s of</w:t>
      </w:r>
      <w:r w:rsidR="004F5E7F" w:rsidRPr="00343052">
        <w:rPr>
          <w:rFonts w:cstheme="majorBidi"/>
          <w:shd w:val="clear" w:color="auto" w:fill="FFFFFF"/>
        </w:rPr>
        <w:t xml:space="preserve"> child </w:t>
      </w:r>
      <w:r w:rsidRPr="00343052">
        <w:rPr>
          <w:rFonts w:cstheme="majorBidi"/>
          <w:shd w:val="clear" w:color="auto" w:fill="FFFFFF"/>
        </w:rPr>
        <w:t xml:space="preserve">marriages </w:t>
      </w:r>
      <w:r w:rsidR="004F5E7F" w:rsidRPr="00343052">
        <w:rPr>
          <w:rFonts w:cstheme="majorBidi"/>
          <w:shd w:val="clear" w:color="auto" w:fill="FFFFFF"/>
        </w:rPr>
        <w:t>as the humanitarian situation deteriorated.</w:t>
      </w:r>
      <w:r w:rsidR="004F5E7F" w:rsidRPr="00343052">
        <w:rPr>
          <w:rStyle w:val="FootnoteReference"/>
          <w:rFonts w:cstheme="majorBidi"/>
          <w:shd w:val="clear" w:color="auto" w:fill="FFFFFF"/>
        </w:rPr>
        <w:footnoteReference w:id="113"/>
      </w:r>
    </w:p>
    <w:p w:rsidR="003144C0" w:rsidRPr="00343052" w:rsidRDefault="003144C0" w:rsidP="00D66F25">
      <w:pPr>
        <w:pStyle w:val="DeskReview2"/>
        <w:numPr>
          <w:ilvl w:val="0"/>
          <w:numId w:val="0"/>
        </w:numPr>
        <w:spacing w:line="276" w:lineRule="auto"/>
        <w:ind w:left="720"/>
        <w:jc w:val="both"/>
        <w:outlineLvl w:val="1"/>
        <w:rPr>
          <w:rFonts w:asciiTheme="minorHAnsi" w:hAnsiTheme="minorHAnsi" w:cstheme="majorBidi"/>
          <w:b w:val="0"/>
          <w:color w:val="auto"/>
          <w:sz w:val="22"/>
          <w:szCs w:val="22"/>
        </w:rPr>
      </w:pPr>
    </w:p>
    <w:p w:rsidR="00CC345D" w:rsidRPr="00380A79" w:rsidRDefault="00CC345D" w:rsidP="008212D4">
      <w:pPr>
        <w:pStyle w:val="DeskReview2"/>
        <w:numPr>
          <w:ilvl w:val="0"/>
          <w:numId w:val="47"/>
        </w:numPr>
        <w:spacing w:line="276" w:lineRule="auto"/>
        <w:ind w:firstLine="0"/>
        <w:jc w:val="both"/>
        <w:outlineLvl w:val="1"/>
        <w:rPr>
          <w:rFonts w:asciiTheme="minorHAnsi" w:hAnsiTheme="minorHAnsi" w:cstheme="majorBidi"/>
          <w:bCs/>
          <w:i/>
          <w:iCs/>
          <w:color w:val="auto"/>
          <w:u w:val="single"/>
        </w:rPr>
      </w:pPr>
      <w:bookmarkStart w:id="31" w:name="_Toc367720295"/>
      <w:r w:rsidRPr="00380A79">
        <w:rPr>
          <w:rFonts w:asciiTheme="minorHAnsi" w:hAnsiTheme="minorHAnsi" w:cstheme="majorBidi"/>
          <w:bCs/>
          <w:i/>
          <w:iCs/>
          <w:color w:val="1F497D" w:themeColor="text2"/>
          <w:u w:val="single"/>
        </w:rPr>
        <w:t>Psychosocial distress and mental disorders</w:t>
      </w:r>
      <w:bookmarkEnd w:id="31"/>
    </w:p>
    <w:p w:rsidR="00CC345D" w:rsidRPr="00343052" w:rsidRDefault="00CC345D" w:rsidP="00D66F25">
      <w:pPr>
        <w:pStyle w:val="DeskReview2"/>
        <w:numPr>
          <w:ilvl w:val="1"/>
          <w:numId w:val="43"/>
        </w:numPr>
        <w:spacing w:line="276" w:lineRule="auto"/>
        <w:jc w:val="both"/>
        <w:outlineLvl w:val="2"/>
        <w:rPr>
          <w:rFonts w:asciiTheme="minorHAnsi" w:hAnsiTheme="minorHAnsi" w:cstheme="majorBidi"/>
          <w:bCs/>
          <w:color w:val="1F497D" w:themeColor="text2"/>
          <w:sz w:val="22"/>
          <w:szCs w:val="22"/>
        </w:rPr>
      </w:pPr>
      <w:bookmarkStart w:id="32" w:name="_Toc358663775"/>
      <w:bookmarkStart w:id="33" w:name="_Toc367720296"/>
      <w:r w:rsidRPr="00343052">
        <w:rPr>
          <w:rFonts w:asciiTheme="minorHAnsi" w:hAnsiTheme="minorHAnsi" w:cstheme="majorBidi"/>
          <w:bCs/>
          <w:color w:val="1F497D" w:themeColor="text2"/>
          <w:sz w:val="22"/>
          <w:szCs w:val="22"/>
        </w:rPr>
        <w:t>Understanding of the issue before the conflict</w:t>
      </w:r>
      <w:bookmarkEnd w:id="32"/>
      <w:bookmarkEnd w:id="33"/>
    </w:p>
    <w:p w:rsidR="00380A79" w:rsidRPr="00343052" w:rsidRDefault="00380A79" w:rsidP="00380A79">
      <w:pPr>
        <w:pStyle w:val="DeskReview2"/>
        <w:numPr>
          <w:ilvl w:val="0"/>
          <w:numId w:val="0"/>
        </w:numPr>
        <w:spacing w:line="276" w:lineRule="auto"/>
        <w:jc w:val="both"/>
        <w:rPr>
          <w:rFonts w:asciiTheme="minorHAnsi" w:hAnsiTheme="minorHAnsi" w:cstheme="majorBidi"/>
          <w:b w:val="0"/>
          <w:color w:val="000000" w:themeColor="text1"/>
          <w:sz w:val="22"/>
          <w:szCs w:val="22"/>
          <w:lang w:val="en-US"/>
        </w:rPr>
      </w:pPr>
      <w:r w:rsidRPr="00343052">
        <w:rPr>
          <w:rFonts w:asciiTheme="minorHAnsi" w:hAnsiTheme="minorHAnsi" w:cstheme="majorBidi"/>
          <w:b w:val="0"/>
          <w:color w:val="000000" w:themeColor="text1"/>
          <w:sz w:val="22"/>
          <w:szCs w:val="22"/>
          <w:lang w:val="en-US"/>
        </w:rPr>
        <w:lastRenderedPageBreak/>
        <w:t xml:space="preserve">Prior to the conflict an interagency psychosocial support and mental health working group operated with the objective of building capacity and strengthening services in Syria. Firstly on specialized care services and secondly on the integration into frontline services, such as primary healthcare, community work, school counseling. There was a plan to set up a national MHPSS </w:t>
      </w:r>
      <w:proofErr w:type="gramStart"/>
      <w:r w:rsidRPr="00343052">
        <w:rPr>
          <w:rFonts w:asciiTheme="minorHAnsi" w:hAnsiTheme="minorHAnsi" w:cstheme="majorBidi"/>
          <w:b w:val="0"/>
          <w:color w:val="000000" w:themeColor="text1"/>
          <w:sz w:val="22"/>
          <w:szCs w:val="22"/>
          <w:lang w:val="en-US"/>
        </w:rPr>
        <w:t>Council,</w:t>
      </w:r>
      <w:proofErr w:type="gramEnd"/>
      <w:r w:rsidRPr="00343052">
        <w:rPr>
          <w:rFonts w:asciiTheme="minorHAnsi" w:hAnsiTheme="minorHAnsi" w:cstheme="majorBidi"/>
          <w:b w:val="0"/>
          <w:color w:val="000000" w:themeColor="text1"/>
          <w:sz w:val="22"/>
          <w:szCs w:val="22"/>
          <w:lang w:val="en-US"/>
        </w:rPr>
        <w:t xml:space="preserve"> this is on hold due to the current crisis. The major activities of the working group outlined in 2010 included the development of a comprehensive professional handbook for providers of specialized care, and curricula including a field manual adjusted for frontline workers; training of master trainers for professionals in specialized care and training of master trainers for non-</w:t>
      </w:r>
      <w:proofErr w:type="spellStart"/>
      <w:r w:rsidRPr="00343052">
        <w:rPr>
          <w:rFonts w:asciiTheme="minorHAnsi" w:hAnsiTheme="minorHAnsi" w:cstheme="majorBidi"/>
          <w:b w:val="0"/>
          <w:color w:val="000000" w:themeColor="text1"/>
          <w:sz w:val="22"/>
          <w:szCs w:val="22"/>
          <w:lang w:val="en-US"/>
        </w:rPr>
        <w:t>specialised</w:t>
      </w:r>
      <w:proofErr w:type="spellEnd"/>
      <w:r w:rsidRPr="00343052">
        <w:rPr>
          <w:rFonts w:asciiTheme="minorHAnsi" w:hAnsiTheme="minorHAnsi" w:cstheme="majorBidi"/>
          <w:b w:val="0"/>
          <w:color w:val="000000" w:themeColor="text1"/>
          <w:sz w:val="22"/>
          <w:szCs w:val="22"/>
          <w:lang w:val="en-US"/>
        </w:rPr>
        <w:t xml:space="preserve"> frontline workers; on-the-job mentoring and supervision; ongoing professional development trainings.</w:t>
      </w:r>
      <w:r w:rsidRPr="00343052">
        <w:rPr>
          <w:rStyle w:val="FootnoteReference"/>
          <w:rFonts w:asciiTheme="minorHAnsi" w:hAnsiTheme="minorHAnsi" w:cstheme="majorBidi"/>
          <w:b w:val="0"/>
          <w:color w:val="000000" w:themeColor="text1"/>
          <w:sz w:val="22"/>
          <w:szCs w:val="22"/>
          <w:lang w:val="en-US"/>
        </w:rPr>
        <w:footnoteReference w:id="114"/>
      </w:r>
      <w:r w:rsidRPr="00343052">
        <w:rPr>
          <w:rFonts w:asciiTheme="minorHAnsi" w:hAnsiTheme="minorHAnsi" w:cstheme="majorBidi"/>
          <w:b w:val="0"/>
          <w:color w:val="000000" w:themeColor="text1"/>
          <w:sz w:val="22"/>
          <w:szCs w:val="22"/>
          <w:lang w:val="en-US"/>
        </w:rPr>
        <w:t xml:space="preserve"> There is no information on the realization of these activities. </w:t>
      </w:r>
    </w:p>
    <w:p w:rsidR="002862CE" w:rsidRDefault="002862CE" w:rsidP="00D66F25">
      <w:pPr>
        <w:pStyle w:val="DeskReview2"/>
        <w:numPr>
          <w:ilvl w:val="0"/>
          <w:numId w:val="0"/>
        </w:numPr>
        <w:spacing w:line="276" w:lineRule="auto"/>
        <w:jc w:val="both"/>
        <w:rPr>
          <w:rFonts w:asciiTheme="minorHAnsi" w:hAnsiTheme="minorHAnsi" w:cstheme="majorBidi"/>
          <w:bCs/>
          <w:color w:val="000000" w:themeColor="text1"/>
          <w:sz w:val="22"/>
          <w:szCs w:val="22"/>
          <w:lang w:val="en-US"/>
        </w:rPr>
      </w:pPr>
    </w:p>
    <w:p w:rsidR="007F5D57" w:rsidRPr="00343052" w:rsidRDefault="007F5D57" w:rsidP="00D66F25">
      <w:pPr>
        <w:pStyle w:val="DeskReview2"/>
        <w:numPr>
          <w:ilvl w:val="0"/>
          <w:numId w:val="0"/>
        </w:numPr>
        <w:spacing w:line="276" w:lineRule="auto"/>
        <w:jc w:val="both"/>
        <w:rPr>
          <w:rFonts w:asciiTheme="minorHAnsi" w:hAnsiTheme="minorHAnsi" w:cstheme="majorBidi"/>
          <w:b w:val="0"/>
          <w:color w:val="000000" w:themeColor="text1"/>
          <w:sz w:val="22"/>
          <w:szCs w:val="22"/>
          <w:lang w:val="en-US"/>
        </w:rPr>
      </w:pPr>
      <w:r w:rsidRPr="00343052">
        <w:rPr>
          <w:rFonts w:asciiTheme="minorHAnsi" w:hAnsiTheme="minorHAnsi" w:cstheme="majorBidi"/>
          <w:bCs/>
          <w:color w:val="000000" w:themeColor="text1"/>
          <w:sz w:val="22"/>
          <w:szCs w:val="22"/>
          <w:lang w:val="en-US"/>
        </w:rPr>
        <w:t xml:space="preserve">Child-parent relationships: </w:t>
      </w:r>
      <w:r w:rsidRPr="00343052">
        <w:rPr>
          <w:rFonts w:asciiTheme="minorHAnsi" w:hAnsiTheme="minorHAnsi" w:cstheme="majorBidi"/>
          <w:b w:val="0"/>
          <w:color w:val="000000" w:themeColor="text1"/>
          <w:sz w:val="22"/>
          <w:szCs w:val="22"/>
          <w:lang w:val="en-US"/>
        </w:rPr>
        <w:t>Results from Global School-based School Survey of 13-15 years in 2010 found 26.7% of students (25% boys, 28.6% girls) felt their parents understood their problems and worries most of the time or always during the past 30 days. 38% of students (34.2% boys, 42% girls) reported that their parents or guardians really knew what they were doing with their free time or always during the past 30 days.</w:t>
      </w:r>
      <w:r w:rsidRPr="00343052">
        <w:rPr>
          <w:rStyle w:val="FootnoteReference"/>
          <w:rFonts w:asciiTheme="minorHAnsi" w:hAnsiTheme="minorHAnsi" w:cstheme="majorBidi"/>
          <w:b w:val="0"/>
          <w:color w:val="000000" w:themeColor="text1"/>
          <w:sz w:val="22"/>
          <w:szCs w:val="22"/>
          <w:lang w:val="en-US"/>
        </w:rPr>
        <w:footnoteReference w:id="115"/>
      </w:r>
      <w:r w:rsidRPr="00343052">
        <w:rPr>
          <w:rFonts w:asciiTheme="minorHAnsi" w:hAnsiTheme="minorHAnsi" w:cstheme="majorBidi"/>
          <w:b w:val="0"/>
          <w:color w:val="000000" w:themeColor="text1"/>
          <w:sz w:val="22"/>
          <w:szCs w:val="22"/>
          <w:lang w:val="en-US"/>
        </w:rPr>
        <w:t xml:space="preserve"> </w:t>
      </w:r>
    </w:p>
    <w:p w:rsidR="009608F3" w:rsidRPr="00343052" w:rsidRDefault="009608F3" w:rsidP="00D66F25">
      <w:pPr>
        <w:pStyle w:val="DeskReview2"/>
        <w:numPr>
          <w:ilvl w:val="0"/>
          <w:numId w:val="0"/>
        </w:numPr>
        <w:spacing w:line="276" w:lineRule="auto"/>
        <w:jc w:val="both"/>
        <w:rPr>
          <w:rFonts w:asciiTheme="minorHAnsi" w:hAnsiTheme="minorHAnsi" w:cstheme="majorBidi"/>
          <w:b w:val="0"/>
          <w:color w:val="000000" w:themeColor="text1"/>
          <w:sz w:val="22"/>
          <w:szCs w:val="22"/>
          <w:lang w:val="en-US"/>
        </w:rPr>
      </w:pPr>
    </w:p>
    <w:p w:rsidR="009808FC" w:rsidRPr="00343052" w:rsidRDefault="009808FC" w:rsidP="001D0552">
      <w:pPr>
        <w:pStyle w:val="DeskReview2"/>
        <w:numPr>
          <w:ilvl w:val="0"/>
          <w:numId w:val="0"/>
        </w:numPr>
        <w:spacing w:line="276" w:lineRule="auto"/>
        <w:jc w:val="both"/>
        <w:rPr>
          <w:rFonts w:asciiTheme="minorHAnsi" w:hAnsiTheme="minorHAnsi" w:cstheme="majorBidi"/>
          <w:b w:val="0"/>
          <w:color w:val="000000" w:themeColor="text1"/>
          <w:sz w:val="22"/>
          <w:szCs w:val="22"/>
          <w:lang w:val="en-US"/>
        </w:rPr>
      </w:pPr>
      <w:r w:rsidRPr="00343052">
        <w:rPr>
          <w:rFonts w:asciiTheme="minorHAnsi" w:hAnsiTheme="minorHAnsi" w:cstheme="majorBidi"/>
          <w:bCs/>
          <w:color w:val="000000" w:themeColor="text1"/>
          <w:sz w:val="22"/>
          <w:szCs w:val="22"/>
          <w:lang w:val="en-US"/>
        </w:rPr>
        <w:t xml:space="preserve">Psychosocial Support Services for Refugee Children: </w:t>
      </w:r>
      <w:r w:rsidRPr="00343052">
        <w:rPr>
          <w:rFonts w:asciiTheme="minorHAnsi" w:hAnsiTheme="minorHAnsi" w:cstheme="majorBidi"/>
          <w:b w:val="0"/>
          <w:color w:val="000000" w:themeColor="text1"/>
          <w:sz w:val="22"/>
          <w:szCs w:val="22"/>
          <w:lang w:val="en-US"/>
        </w:rPr>
        <w:t xml:space="preserve">In 2009, 4 </w:t>
      </w:r>
      <w:proofErr w:type="spellStart"/>
      <w:r w:rsidRPr="00343052">
        <w:rPr>
          <w:rFonts w:asciiTheme="minorHAnsi" w:hAnsiTheme="minorHAnsi" w:cstheme="majorBidi"/>
          <w:b w:val="0"/>
          <w:color w:val="000000" w:themeColor="text1"/>
          <w:sz w:val="22"/>
          <w:szCs w:val="22"/>
          <w:lang w:val="en-US"/>
        </w:rPr>
        <w:t>centres</w:t>
      </w:r>
      <w:proofErr w:type="spellEnd"/>
      <w:r w:rsidRPr="00343052">
        <w:rPr>
          <w:rFonts w:asciiTheme="minorHAnsi" w:hAnsiTheme="minorHAnsi" w:cstheme="majorBidi"/>
          <w:b w:val="0"/>
          <w:color w:val="000000" w:themeColor="text1"/>
          <w:sz w:val="22"/>
          <w:szCs w:val="22"/>
          <w:lang w:val="en-US"/>
        </w:rPr>
        <w:t xml:space="preserve"> </w:t>
      </w:r>
      <w:r w:rsidR="001D0552" w:rsidRPr="00343052">
        <w:rPr>
          <w:rFonts w:asciiTheme="minorHAnsi" w:hAnsiTheme="minorHAnsi" w:cstheme="majorBidi"/>
          <w:b w:val="0"/>
          <w:color w:val="000000" w:themeColor="text1"/>
          <w:sz w:val="22"/>
          <w:szCs w:val="22"/>
          <w:lang w:val="en-US"/>
        </w:rPr>
        <w:t xml:space="preserve">were </w:t>
      </w:r>
      <w:r w:rsidRPr="00343052">
        <w:rPr>
          <w:rFonts w:asciiTheme="minorHAnsi" w:hAnsiTheme="minorHAnsi" w:cstheme="majorBidi"/>
          <w:b w:val="0"/>
          <w:color w:val="000000" w:themeColor="text1"/>
          <w:sz w:val="22"/>
          <w:szCs w:val="22"/>
          <w:lang w:val="en-US"/>
        </w:rPr>
        <w:t xml:space="preserve">providing psychosocial support services to Iraqi children and their families. The first child friendly space was established in Duma (Rural Damascus governorate) in 2007, and an additional three spaces were integrated into SARC clinics in 2008 </w:t>
      </w:r>
      <w:r w:rsidR="00ED5D27" w:rsidRPr="00343052">
        <w:rPr>
          <w:rFonts w:asciiTheme="minorHAnsi" w:hAnsiTheme="minorHAnsi" w:cstheme="majorBidi"/>
          <w:b w:val="0"/>
          <w:color w:val="000000" w:themeColor="text1"/>
          <w:sz w:val="22"/>
          <w:szCs w:val="22"/>
          <w:lang w:val="en-US"/>
        </w:rPr>
        <w:t>in Rural Damascus governorate</w:t>
      </w:r>
      <w:r w:rsidRPr="00343052">
        <w:rPr>
          <w:rFonts w:asciiTheme="minorHAnsi" w:hAnsiTheme="minorHAnsi" w:cstheme="majorBidi"/>
          <w:b w:val="0"/>
          <w:color w:val="000000" w:themeColor="text1"/>
          <w:sz w:val="22"/>
          <w:szCs w:val="22"/>
          <w:lang w:val="en-US"/>
        </w:rPr>
        <w:t xml:space="preserve">. The four </w:t>
      </w:r>
      <w:proofErr w:type="spellStart"/>
      <w:r w:rsidRPr="00343052">
        <w:rPr>
          <w:rFonts w:asciiTheme="minorHAnsi" w:hAnsiTheme="minorHAnsi" w:cstheme="majorBidi"/>
          <w:b w:val="0"/>
          <w:color w:val="000000" w:themeColor="text1"/>
          <w:sz w:val="22"/>
          <w:szCs w:val="22"/>
          <w:lang w:val="en-US"/>
        </w:rPr>
        <w:t>centres</w:t>
      </w:r>
      <w:proofErr w:type="spellEnd"/>
      <w:r w:rsidRPr="00343052">
        <w:rPr>
          <w:rFonts w:asciiTheme="minorHAnsi" w:hAnsiTheme="minorHAnsi" w:cstheme="majorBidi"/>
          <w:b w:val="0"/>
          <w:color w:val="000000" w:themeColor="text1"/>
          <w:sz w:val="22"/>
          <w:szCs w:val="22"/>
          <w:lang w:val="en-US"/>
        </w:rPr>
        <w:t xml:space="preserve"> were providing support to 1000 children each month and where necessary referred children for specialized support and follow-up. In 2008 the </w:t>
      </w:r>
      <w:proofErr w:type="spellStart"/>
      <w:r w:rsidRPr="00343052">
        <w:rPr>
          <w:rFonts w:asciiTheme="minorHAnsi" w:hAnsiTheme="minorHAnsi" w:cstheme="majorBidi"/>
          <w:b w:val="0"/>
          <w:color w:val="000000" w:themeColor="text1"/>
          <w:sz w:val="22"/>
          <w:szCs w:val="22"/>
          <w:lang w:val="en-US"/>
        </w:rPr>
        <w:t>programme</w:t>
      </w:r>
      <w:proofErr w:type="spellEnd"/>
      <w:r w:rsidRPr="00343052">
        <w:rPr>
          <w:rFonts w:asciiTheme="minorHAnsi" w:hAnsiTheme="minorHAnsi" w:cstheme="majorBidi"/>
          <w:b w:val="0"/>
          <w:color w:val="000000" w:themeColor="text1"/>
          <w:sz w:val="22"/>
          <w:szCs w:val="22"/>
          <w:lang w:val="en-US"/>
        </w:rPr>
        <w:t xml:space="preserve"> was expanded to include mothers and adolescents.  The parenting </w:t>
      </w:r>
      <w:proofErr w:type="spellStart"/>
      <w:r w:rsidRPr="00343052">
        <w:rPr>
          <w:rFonts w:asciiTheme="minorHAnsi" w:hAnsiTheme="minorHAnsi" w:cstheme="majorBidi"/>
          <w:b w:val="0"/>
          <w:color w:val="000000" w:themeColor="text1"/>
          <w:sz w:val="22"/>
          <w:szCs w:val="22"/>
          <w:lang w:val="en-US"/>
        </w:rPr>
        <w:t>programme</w:t>
      </w:r>
      <w:proofErr w:type="spellEnd"/>
      <w:r w:rsidRPr="00343052">
        <w:rPr>
          <w:rFonts w:asciiTheme="minorHAnsi" w:hAnsiTheme="minorHAnsi" w:cstheme="majorBidi"/>
          <w:b w:val="0"/>
          <w:color w:val="000000" w:themeColor="text1"/>
          <w:sz w:val="22"/>
          <w:szCs w:val="22"/>
          <w:lang w:val="en-US"/>
        </w:rPr>
        <w:t xml:space="preserve"> provided </w:t>
      </w:r>
      <w:r w:rsidR="00ED5D27" w:rsidRPr="00343052">
        <w:rPr>
          <w:rFonts w:asciiTheme="minorHAnsi" w:hAnsiTheme="minorHAnsi" w:cstheme="majorBidi"/>
          <w:b w:val="0"/>
          <w:color w:val="000000" w:themeColor="text1"/>
          <w:sz w:val="22"/>
          <w:szCs w:val="22"/>
          <w:lang w:val="en-US"/>
        </w:rPr>
        <w:t xml:space="preserve">educational support sessions, </w:t>
      </w:r>
      <w:r w:rsidRPr="00343052">
        <w:rPr>
          <w:rFonts w:asciiTheme="minorHAnsi" w:hAnsiTheme="minorHAnsi" w:cstheme="majorBidi"/>
          <w:b w:val="0"/>
          <w:color w:val="000000" w:themeColor="text1"/>
          <w:sz w:val="22"/>
          <w:szCs w:val="22"/>
        </w:rPr>
        <w:t>recreational activities and trips for participating mothers. The adolescent empowerment programme targeted 14-18 year</w:t>
      </w:r>
      <w:r w:rsidR="00ED5D27" w:rsidRPr="00343052">
        <w:rPr>
          <w:rFonts w:asciiTheme="minorHAnsi" w:hAnsiTheme="minorHAnsi" w:cstheme="majorBidi"/>
          <w:b w:val="0"/>
          <w:color w:val="000000" w:themeColor="text1"/>
          <w:sz w:val="22"/>
          <w:szCs w:val="22"/>
        </w:rPr>
        <w:t>s</w:t>
      </w:r>
      <w:r w:rsidRPr="00343052">
        <w:rPr>
          <w:rFonts w:asciiTheme="minorHAnsi" w:hAnsiTheme="minorHAnsi" w:cstheme="majorBidi"/>
          <w:b w:val="0"/>
          <w:color w:val="000000" w:themeColor="text1"/>
          <w:sz w:val="22"/>
          <w:szCs w:val="22"/>
        </w:rPr>
        <w:t xml:space="preserve"> utilising a peer-to-peer approach.</w:t>
      </w:r>
      <w:r w:rsidRPr="00343052">
        <w:rPr>
          <w:rStyle w:val="FootnoteReference"/>
          <w:rFonts w:asciiTheme="minorHAnsi" w:hAnsiTheme="minorHAnsi" w:cstheme="majorBidi"/>
          <w:b w:val="0"/>
          <w:color w:val="000000" w:themeColor="text1"/>
          <w:sz w:val="22"/>
          <w:szCs w:val="22"/>
        </w:rPr>
        <w:footnoteReference w:id="116"/>
      </w:r>
      <w:r w:rsidRPr="00343052">
        <w:rPr>
          <w:rFonts w:asciiTheme="minorHAnsi" w:hAnsiTheme="minorHAnsi" w:cstheme="majorBidi"/>
          <w:b w:val="0"/>
          <w:color w:val="000000" w:themeColor="text1"/>
          <w:sz w:val="22"/>
          <w:szCs w:val="22"/>
        </w:rPr>
        <w:t xml:space="preserve"> </w:t>
      </w:r>
    </w:p>
    <w:p w:rsidR="00044667" w:rsidRPr="00343052" w:rsidRDefault="00044667" w:rsidP="00380A79">
      <w:pPr>
        <w:pStyle w:val="DeskReview2"/>
        <w:numPr>
          <w:ilvl w:val="0"/>
          <w:numId w:val="0"/>
        </w:numPr>
        <w:spacing w:line="276" w:lineRule="auto"/>
        <w:jc w:val="both"/>
        <w:rPr>
          <w:rFonts w:asciiTheme="minorHAnsi" w:hAnsiTheme="minorHAnsi" w:cstheme="majorBidi"/>
          <w:bCs/>
          <w:color w:val="1F497D" w:themeColor="text2"/>
          <w:sz w:val="22"/>
          <w:szCs w:val="22"/>
        </w:rPr>
      </w:pPr>
    </w:p>
    <w:p w:rsidR="00CC345D" w:rsidRPr="00343052" w:rsidRDefault="00294445" w:rsidP="00380A79">
      <w:pPr>
        <w:pStyle w:val="DeskReview2"/>
        <w:numPr>
          <w:ilvl w:val="0"/>
          <w:numId w:val="0"/>
        </w:numPr>
        <w:spacing w:line="276" w:lineRule="auto"/>
        <w:jc w:val="both"/>
        <w:outlineLvl w:val="2"/>
        <w:rPr>
          <w:rFonts w:asciiTheme="minorHAnsi" w:hAnsiTheme="minorHAnsi" w:cstheme="majorBidi"/>
          <w:bCs/>
          <w:color w:val="1F497D" w:themeColor="text2"/>
          <w:sz w:val="22"/>
          <w:szCs w:val="22"/>
        </w:rPr>
      </w:pPr>
      <w:bookmarkStart w:id="34" w:name="_Toc358663776"/>
      <w:bookmarkStart w:id="35" w:name="_Toc367720297"/>
      <w:r w:rsidRPr="00343052">
        <w:rPr>
          <w:rFonts w:asciiTheme="minorHAnsi" w:hAnsiTheme="minorHAnsi" w:cstheme="majorBidi"/>
          <w:bCs/>
          <w:color w:val="1F497D" w:themeColor="text2"/>
          <w:sz w:val="22"/>
          <w:szCs w:val="22"/>
        </w:rPr>
        <w:t xml:space="preserve">7.2 </w:t>
      </w:r>
      <w:r w:rsidR="00CC345D" w:rsidRPr="00343052">
        <w:rPr>
          <w:rFonts w:asciiTheme="minorHAnsi" w:hAnsiTheme="minorHAnsi" w:cstheme="majorBidi"/>
          <w:bCs/>
          <w:color w:val="1F497D" w:themeColor="text2"/>
          <w:sz w:val="22"/>
          <w:szCs w:val="22"/>
        </w:rPr>
        <w:t>Understanding of the issue since the onset of the conflict</w:t>
      </w:r>
      <w:bookmarkEnd w:id="34"/>
      <w:bookmarkEnd w:id="35"/>
    </w:p>
    <w:p w:rsidR="008837D8" w:rsidRPr="00343052" w:rsidRDefault="008837D8" w:rsidP="00D66F25">
      <w:pPr>
        <w:autoSpaceDE w:val="0"/>
        <w:autoSpaceDN w:val="0"/>
        <w:adjustRightInd w:val="0"/>
        <w:spacing w:after="0" w:line="240" w:lineRule="auto"/>
        <w:jc w:val="both"/>
        <w:rPr>
          <w:rFonts w:cstheme="majorBidi"/>
          <w:lang w:val="en-US"/>
        </w:rPr>
      </w:pPr>
      <w:r w:rsidRPr="00343052">
        <w:rPr>
          <w:rFonts w:cstheme="majorBidi"/>
          <w:lang w:val="en-US"/>
        </w:rPr>
        <w:t>It is projected that in emergencies, on average, the percentage of people with a severe mental disorder (e.g. psychosis and severely disabling presentations of mood and anxiety disorders) increases by 1 per cent over and above an estimated baseline of 2–3 per cent. In addition, the percentage of people with mild or moderate mental disorders, including most presentations of mood and anxiety disorders, may increase by 5–10 per cent above an estimated baseline of 10 per cent (see WHO, 2005). In most situations natural recovery over time (i.e. healing without outside intervention) will occur for many – but not all – survivors with mild and moderate disorders.</w:t>
      </w:r>
      <w:r w:rsidRPr="00343052">
        <w:rPr>
          <w:rStyle w:val="FootnoteReference"/>
          <w:rFonts w:cstheme="majorBidi"/>
          <w:lang w:val="en-US"/>
        </w:rPr>
        <w:footnoteReference w:id="117"/>
      </w:r>
    </w:p>
    <w:p w:rsidR="003144C0" w:rsidRPr="00343052" w:rsidRDefault="003144C0" w:rsidP="00D66F25">
      <w:pPr>
        <w:ind w:left="-1134"/>
        <w:contextualSpacing/>
        <w:jc w:val="both"/>
        <w:rPr>
          <w:rFonts w:cstheme="majorBidi"/>
          <w:i/>
          <w:color w:val="365F91" w:themeColor="accent1" w:themeShade="BF"/>
          <w:lang w:val="en-US"/>
        </w:rPr>
      </w:pPr>
    </w:p>
    <w:p w:rsidR="00CA106D" w:rsidRPr="00343052" w:rsidRDefault="00CA106D" w:rsidP="00912C40">
      <w:pPr>
        <w:tabs>
          <w:tab w:val="left" w:pos="0"/>
        </w:tabs>
        <w:spacing w:after="0"/>
        <w:jc w:val="both"/>
        <w:rPr>
          <w:rFonts w:cstheme="majorBidi"/>
          <w:color w:val="4F81BD" w:themeColor="accent1"/>
        </w:rPr>
      </w:pPr>
      <w:r w:rsidRPr="00343052">
        <w:rPr>
          <w:rFonts w:cstheme="majorBidi"/>
        </w:rPr>
        <w:t xml:space="preserve">The Commission </w:t>
      </w:r>
      <w:r w:rsidR="00F2317C" w:rsidRPr="00343052">
        <w:rPr>
          <w:rFonts w:cstheme="majorBidi"/>
        </w:rPr>
        <w:t xml:space="preserve">of Inquiry </w:t>
      </w:r>
      <w:r w:rsidRPr="00343052">
        <w:rPr>
          <w:rFonts w:cstheme="majorBidi"/>
        </w:rPr>
        <w:t>interviewed 30 children under the age of 18, and reported that the adverse psychological and social impact of the violence on children was evident</w:t>
      </w:r>
      <w:r w:rsidRPr="00343052">
        <w:rPr>
          <w:rStyle w:val="FootnoteReference"/>
          <w:rFonts w:cstheme="majorBidi"/>
        </w:rPr>
        <w:footnoteReference w:id="118"/>
      </w:r>
      <w:r w:rsidRPr="00343052">
        <w:rPr>
          <w:rFonts w:cstheme="majorBidi"/>
        </w:rPr>
        <w:t>. Parents say their children are showing signs of significant emotional di</w:t>
      </w:r>
      <w:r w:rsidR="00D74BED" w:rsidRPr="00343052">
        <w:rPr>
          <w:rFonts w:cstheme="majorBidi"/>
        </w:rPr>
        <w:t>stress, such as nightmares, bed-</w:t>
      </w:r>
      <w:r w:rsidRPr="00343052">
        <w:rPr>
          <w:rFonts w:cstheme="majorBidi"/>
        </w:rPr>
        <w:t>wetting or becoming uncharacteristically a</w:t>
      </w:r>
      <w:r w:rsidR="00F2317C" w:rsidRPr="00343052">
        <w:rPr>
          <w:rFonts w:cstheme="majorBidi"/>
        </w:rPr>
        <w:t>ggressive or withdraw, and</w:t>
      </w:r>
      <w:r w:rsidRPr="00343052">
        <w:rPr>
          <w:rFonts w:cstheme="majorBidi"/>
        </w:rPr>
        <w:t xml:space="preserve"> any loud noise reminds children of the </w:t>
      </w:r>
      <w:r w:rsidRPr="00343052">
        <w:rPr>
          <w:rFonts w:cstheme="majorBidi"/>
        </w:rPr>
        <w:lastRenderedPageBreak/>
        <w:t>violence they fled from.</w:t>
      </w:r>
      <w:r w:rsidRPr="00343052">
        <w:rPr>
          <w:rStyle w:val="FootnoteReference"/>
          <w:rFonts w:cstheme="majorBidi"/>
        </w:rPr>
        <w:footnoteReference w:id="119"/>
      </w:r>
      <w:r w:rsidRPr="00343052">
        <w:rPr>
          <w:rFonts w:cstheme="majorBidi"/>
        </w:rPr>
        <w:t xml:space="preserve"> Signs of distress in Syrian refugee children living in the sub-region have been well observed; in Iraq feeling</w:t>
      </w:r>
      <w:r w:rsidR="00F2317C" w:rsidRPr="00343052">
        <w:rPr>
          <w:rFonts w:cstheme="majorBidi"/>
        </w:rPr>
        <w:t>s of fear, loud noise reminding</w:t>
      </w:r>
      <w:r w:rsidRPr="00343052">
        <w:rPr>
          <w:rFonts w:cstheme="majorBidi"/>
        </w:rPr>
        <w:t xml:space="preserve"> them of bombings and nightmares are reportedly common</w:t>
      </w:r>
      <w:r w:rsidRPr="00343052">
        <w:rPr>
          <w:rStyle w:val="FootnoteReference"/>
          <w:rFonts w:cstheme="majorBidi"/>
        </w:rPr>
        <w:footnoteReference w:id="120"/>
      </w:r>
      <w:r w:rsidRPr="00343052">
        <w:rPr>
          <w:rFonts w:cstheme="majorBidi"/>
        </w:rPr>
        <w:t xml:space="preserve">. Others feel unsafe when they go to school. Even in safer environments, such as Child Friendly Spaces, some children draw scenes of violence and bloodied bodies, </w:t>
      </w:r>
      <w:r w:rsidR="00F2317C" w:rsidRPr="00343052">
        <w:rPr>
          <w:rFonts w:cstheme="majorBidi"/>
        </w:rPr>
        <w:t>in order to describe a massacre</w:t>
      </w:r>
      <w:r w:rsidR="00912C40" w:rsidRPr="00343052">
        <w:rPr>
          <w:rFonts w:cstheme="majorBidi"/>
        </w:rPr>
        <w:t>.</w:t>
      </w:r>
      <w:r w:rsidRPr="00343052">
        <w:rPr>
          <w:rStyle w:val="FootnoteReference"/>
          <w:rFonts w:cstheme="majorBidi"/>
        </w:rPr>
        <w:footnoteReference w:id="121"/>
      </w:r>
      <w:r w:rsidRPr="00343052">
        <w:rPr>
          <w:rFonts w:cstheme="majorBidi"/>
        </w:rPr>
        <w:t xml:space="preserve"> </w:t>
      </w:r>
    </w:p>
    <w:p w:rsidR="00CA106D" w:rsidRPr="00343052" w:rsidRDefault="00CA106D" w:rsidP="00D66F25">
      <w:pPr>
        <w:tabs>
          <w:tab w:val="left" w:pos="0"/>
        </w:tabs>
        <w:spacing w:after="0"/>
        <w:jc w:val="both"/>
        <w:rPr>
          <w:rFonts w:cstheme="majorBidi"/>
        </w:rPr>
      </w:pPr>
    </w:p>
    <w:p w:rsidR="00CA106D" w:rsidRPr="00343052" w:rsidRDefault="00CA106D" w:rsidP="00D66F25">
      <w:pPr>
        <w:jc w:val="both"/>
        <w:rPr>
          <w:rFonts w:cstheme="majorBidi"/>
        </w:rPr>
      </w:pPr>
      <w:r w:rsidRPr="00343052">
        <w:rPr>
          <w:rFonts w:cstheme="majorBidi"/>
        </w:rPr>
        <w:t xml:space="preserve">Displacement, lack of activities and basic services are all elements that undermine children’s psychosocial wellbeing. This is exacerbated by the increase of violence and insecurity that children witness and experience on a daily basis.  There are accounts of children who have </w:t>
      </w:r>
      <w:r w:rsidR="000F0ED8" w:rsidRPr="00343052">
        <w:rPr>
          <w:rFonts w:cstheme="majorBidi"/>
        </w:rPr>
        <w:t xml:space="preserve">seen their family members tortured and </w:t>
      </w:r>
      <w:r w:rsidRPr="00343052">
        <w:rPr>
          <w:rFonts w:cstheme="majorBidi"/>
        </w:rPr>
        <w:t>killed.</w:t>
      </w:r>
      <w:r w:rsidR="000F0ED8" w:rsidRPr="00343052">
        <w:rPr>
          <w:rStyle w:val="FootnoteReference"/>
          <w:rFonts w:cstheme="majorBidi"/>
        </w:rPr>
        <w:footnoteReference w:id="122"/>
      </w:r>
      <w:r w:rsidRPr="00343052">
        <w:rPr>
          <w:rFonts w:cstheme="majorBidi"/>
          <w:color w:val="4F81BD" w:themeColor="accent1"/>
        </w:rPr>
        <w:t xml:space="preserve"> </w:t>
      </w:r>
      <w:r w:rsidRPr="00343052">
        <w:rPr>
          <w:rFonts w:cstheme="majorBidi"/>
        </w:rPr>
        <w:t>Children may also be concerned for relatives still living in areas of on-going fighting and instability.</w:t>
      </w:r>
      <w:r w:rsidR="00357815" w:rsidRPr="00343052">
        <w:rPr>
          <w:rStyle w:val="FootnoteReference"/>
          <w:rFonts w:cstheme="majorBidi"/>
        </w:rPr>
        <w:footnoteReference w:id="123"/>
      </w:r>
      <w:r w:rsidRPr="00343052">
        <w:rPr>
          <w:rFonts w:cstheme="majorBidi"/>
          <w:color w:val="4F81BD" w:themeColor="accent1"/>
        </w:rPr>
        <w:t xml:space="preserve"> </w:t>
      </w:r>
      <w:r w:rsidR="00F2317C" w:rsidRPr="00343052">
        <w:rPr>
          <w:rFonts w:cstheme="majorBidi"/>
        </w:rPr>
        <w:t xml:space="preserve">Research by a Turkish university found that three in four Syrian refugee children interviewed had experienced the death of a loved one due to the conflict. </w:t>
      </w:r>
      <w:r w:rsidRPr="00343052">
        <w:rPr>
          <w:rFonts w:cstheme="majorBidi"/>
        </w:rPr>
        <w:t>An evaluation in IDPs camps in Northern Syria report</w:t>
      </w:r>
      <w:r w:rsidR="00AA6C53" w:rsidRPr="00343052">
        <w:rPr>
          <w:rFonts w:cstheme="majorBidi"/>
        </w:rPr>
        <w:t>ed</w:t>
      </w:r>
      <w:r w:rsidRPr="00343052">
        <w:rPr>
          <w:rFonts w:cstheme="majorBidi"/>
        </w:rPr>
        <w:t xml:space="preserve"> that such an environment affects children as everybody around them is </w:t>
      </w:r>
      <w:proofErr w:type="gramStart"/>
      <w:r w:rsidRPr="00343052">
        <w:rPr>
          <w:rFonts w:cstheme="majorBidi"/>
        </w:rPr>
        <w:t>angry,</w:t>
      </w:r>
      <w:proofErr w:type="gramEnd"/>
      <w:r w:rsidRPr="00343052">
        <w:rPr>
          <w:rFonts w:cstheme="majorBidi"/>
        </w:rPr>
        <w:t xml:space="preserve"> stressed and despaired.</w:t>
      </w:r>
      <w:r w:rsidR="00AA6C53" w:rsidRPr="00343052">
        <w:rPr>
          <w:rStyle w:val="FootnoteReference"/>
          <w:rFonts w:cstheme="majorBidi"/>
        </w:rPr>
        <w:t xml:space="preserve"> </w:t>
      </w:r>
      <w:r w:rsidR="00AA6C53" w:rsidRPr="00343052">
        <w:rPr>
          <w:rStyle w:val="FootnoteReference"/>
          <w:rFonts w:cstheme="majorBidi"/>
        </w:rPr>
        <w:footnoteReference w:id="124"/>
      </w:r>
      <w:r w:rsidRPr="00343052">
        <w:rPr>
          <w:rFonts w:cstheme="majorBidi"/>
          <w:color w:val="4F81BD" w:themeColor="accent1"/>
        </w:rPr>
        <w:t xml:space="preserve"> </w:t>
      </w:r>
      <w:r w:rsidR="009E5986" w:rsidRPr="00343052">
        <w:rPr>
          <w:rFonts w:cstheme="majorBidi"/>
        </w:rPr>
        <w:t xml:space="preserve">In Al </w:t>
      </w:r>
      <w:proofErr w:type="spellStart"/>
      <w:r w:rsidR="009E5986" w:rsidRPr="00343052">
        <w:rPr>
          <w:rFonts w:cstheme="majorBidi"/>
        </w:rPr>
        <w:t>Karameh</w:t>
      </w:r>
      <w:proofErr w:type="spellEnd"/>
      <w:r w:rsidR="009E5986" w:rsidRPr="00343052">
        <w:rPr>
          <w:rFonts w:cstheme="majorBidi"/>
        </w:rPr>
        <w:t xml:space="preserve"> IDP camp in </w:t>
      </w:r>
      <w:proofErr w:type="spellStart"/>
      <w:r w:rsidR="009E5986" w:rsidRPr="00343052">
        <w:rPr>
          <w:rFonts w:cstheme="majorBidi"/>
        </w:rPr>
        <w:t>Idleb</w:t>
      </w:r>
      <w:proofErr w:type="spellEnd"/>
      <w:r w:rsidR="009E5986" w:rsidRPr="00343052">
        <w:rPr>
          <w:rFonts w:cstheme="majorBidi"/>
          <w:color w:val="4F81BD" w:themeColor="accent1"/>
        </w:rPr>
        <w:t xml:space="preserve"> </w:t>
      </w:r>
      <w:r w:rsidR="009E5986" w:rsidRPr="00343052">
        <w:rPr>
          <w:rFonts w:cstheme="majorBidi"/>
        </w:rPr>
        <w:t>children are exposed to maltreatment and neglect from parents who themselves are showing high levels of distress and are unable to cope with their own difficulties.</w:t>
      </w:r>
      <w:r w:rsidR="009E5986" w:rsidRPr="00343052">
        <w:rPr>
          <w:rStyle w:val="FootnoteReference"/>
          <w:rFonts w:cstheme="majorBidi"/>
        </w:rPr>
        <w:footnoteReference w:id="125"/>
      </w:r>
      <w:r w:rsidR="009E5986" w:rsidRPr="00343052">
        <w:rPr>
          <w:rFonts w:cstheme="majorBidi"/>
        </w:rPr>
        <w:t xml:space="preserve"> </w:t>
      </w:r>
      <w:r w:rsidR="00AA6C53" w:rsidRPr="00343052">
        <w:rPr>
          <w:rFonts w:cstheme="majorBidi"/>
        </w:rPr>
        <w:t>It has been suggested that t</w:t>
      </w:r>
      <w:r w:rsidRPr="00343052">
        <w:rPr>
          <w:rFonts w:cstheme="majorBidi"/>
        </w:rPr>
        <w:t>his may be further compounded by homes and schools nurturing feelings of hatred.</w:t>
      </w:r>
      <w:r w:rsidR="000F0ED8" w:rsidRPr="00343052">
        <w:rPr>
          <w:rStyle w:val="FootnoteReference"/>
          <w:rFonts w:cstheme="majorBidi"/>
        </w:rPr>
        <w:footnoteReference w:id="126"/>
      </w:r>
      <w:r w:rsidRPr="00343052">
        <w:rPr>
          <w:rFonts w:cstheme="majorBidi"/>
        </w:rPr>
        <w:t xml:space="preserve"> </w:t>
      </w:r>
    </w:p>
    <w:p w:rsidR="00CA106D" w:rsidRPr="00343052" w:rsidRDefault="00CA106D" w:rsidP="00AE7DA0">
      <w:pPr>
        <w:tabs>
          <w:tab w:val="left" w:pos="0"/>
        </w:tabs>
        <w:spacing w:after="0"/>
        <w:jc w:val="both"/>
        <w:rPr>
          <w:rFonts w:cstheme="majorBidi"/>
        </w:rPr>
      </w:pPr>
      <w:r w:rsidRPr="00343052">
        <w:rPr>
          <w:rFonts w:cstheme="majorBidi"/>
        </w:rPr>
        <w:t>Results from an assessment led in the North of Syria (January 2013) highlighted children’s psychosocial needs as one of the most pressing needs.</w:t>
      </w:r>
      <w:r w:rsidRPr="00343052">
        <w:rPr>
          <w:rStyle w:val="FootnoteReference"/>
          <w:rFonts w:cstheme="majorBidi"/>
        </w:rPr>
        <w:footnoteReference w:id="127"/>
      </w:r>
      <w:r w:rsidRPr="00343052">
        <w:rPr>
          <w:rFonts w:cstheme="majorBidi"/>
        </w:rPr>
        <w:t xml:space="preserve"> This was reconfirmed in the follow-up assessment in May 2013 that identified the provision of psychosocial support as highest priority for intervention in the protection of civilians from violence, fighting, shelling and psychological trauma. In the same assessment respondents identified “frustration” (identified as including anxiety, psychological stress </w:t>
      </w:r>
      <w:proofErr w:type="spellStart"/>
      <w:r w:rsidRPr="00343052">
        <w:rPr>
          <w:rFonts w:cstheme="majorBidi"/>
        </w:rPr>
        <w:t>etc</w:t>
      </w:r>
      <w:proofErr w:type="spellEnd"/>
      <w:r w:rsidRPr="00343052">
        <w:rPr>
          <w:rFonts w:cstheme="majorBidi"/>
        </w:rPr>
        <w:t>) as a high protection concern.</w:t>
      </w:r>
      <w:r w:rsidR="00D74BED" w:rsidRPr="00343052">
        <w:rPr>
          <w:rStyle w:val="FootnoteReference"/>
          <w:rFonts w:cstheme="majorBidi"/>
        </w:rPr>
        <w:footnoteReference w:id="128"/>
      </w:r>
      <w:r w:rsidRPr="00343052">
        <w:rPr>
          <w:rFonts w:cstheme="majorBidi"/>
        </w:rPr>
        <w:t xml:space="preserve"> </w:t>
      </w:r>
      <w:r w:rsidR="00AE7DA0" w:rsidRPr="00343052">
        <w:rPr>
          <w:rFonts w:cstheme="majorBidi"/>
        </w:rPr>
        <w:t xml:space="preserve"> </w:t>
      </w:r>
    </w:p>
    <w:p w:rsidR="00CA106D" w:rsidRPr="00343052" w:rsidRDefault="00CA106D" w:rsidP="00D66F25">
      <w:pPr>
        <w:tabs>
          <w:tab w:val="left" w:pos="0"/>
        </w:tabs>
        <w:spacing w:after="0"/>
        <w:jc w:val="both"/>
        <w:rPr>
          <w:rFonts w:cstheme="majorBidi"/>
        </w:rPr>
      </w:pPr>
    </w:p>
    <w:p w:rsidR="003144C0" w:rsidRPr="00343052" w:rsidRDefault="003144C0" w:rsidP="00D66F25">
      <w:pPr>
        <w:pStyle w:val="DeskReview2"/>
        <w:numPr>
          <w:ilvl w:val="0"/>
          <w:numId w:val="0"/>
        </w:numPr>
        <w:spacing w:line="276" w:lineRule="auto"/>
        <w:ind w:left="720"/>
        <w:jc w:val="both"/>
        <w:rPr>
          <w:rFonts w:asciiTheme="minorHAnsi" w:hAnsiTheme="minorHAnsi" w:cstheme="majorBidi"/>
          <w:b w:val="0"/>
          <w:color w:val="auto"/>
          <w:sz w:val="22"/>
          <w:szCs w:val="22"/>
        </w:rPr>
      </w:pPr>
    </w:p>
    <w:p w:rsidR="005626AD" w:rsidRPr="00343052" w:rsidRDefault="009608F3" w:rsidP="009608F3">
      <w:pPr>
        <w:pStyle w:val="DeskReview2"/>
        <w:numPr>
          <w:ilvl w:val="0"/>
          <w:numId w:val="47"/>
        </w:numPr>
        <w:spacing w:line="276" w:lineRule="auto"/>
        <w:jc w:val="both"/>
        <w:outlineLvl w:val="1"/>
        <w:rPr>
          <w:rFonts w:asciiTheme="minorHAnsi" w:hAnsiTheme="minorHAnsi" w:cstheme="majorBidi"/>
          <w:bCs/>
          <w:i/>
          <w:iCs/>
          <w:color w:val="1F497D" w:themeColor="text2"/>
          <w:sz w:val="22"/>
          <w:szCs w:val="22"/>
        </w:rPr>
      </w:pPr>
      <w:bookmarkStart w:id="36" w:name="_Toc367720298"/>
      <w:r w:rsidRPr="00343052">
        <w:rPr>
          <w:rFonts w:asciiTheme="minorHAnsi" w:hAnsiTheme="minorHAnsi" w:cstheme="majorBidi"/>
          <w:bCs/>
          <w:i/>
          <w:iCs/>
          <w:color w:val="1F497D" w:themeColor="text2"/>
          <w:sz w:val="22"/>
          <w:szCs w:val="22"/>
        </w:rPr>
        <w:t>Access to Information &amp; Services</w:t>
      </w:r>
      <w:bookmarkEnd w:id="36"/>
      <w:r w:rsidRPr="00343052">
        <w:rPr>
          <w:rFonts w:asciiTheme="minorHAnsi" w:hAnsiTheme="minorHAnsi" w:cstheme="majorBidi"/>
          <w:bCs/>
          <w:i/>
          <w:iCs/>
          <w:color w:val="1F497D" w:themeColor="text2"/>
          <w:sz w:val="22"/>
          <w:szCs w:val="22"/>
        </w:rPr>
        <w:t xml:space="preserve"> </w:t>
      </w:r>
    </w:p>
    <w:p w:rsidR="005626AD" w:rsidRPr="00343052" w:rsidRDefault="005626AD" w:rsidP="009608F3">
      <w:pPr>
        <w:pStyle w:val="DeskReview2"/>
        <w:numPr>
          <w:ilvl w:val="1"/>
          <w:numId w:val="47"/>
        </w:numPr>
        <w:spacing w:line="276" w:lineRule="auto"/>
        <w:jc w:val="both"/>
        <w:outlineLvl w:val="2"/>
        <w:rPr>
          <w:rFonts w:asciiTheme="minorHAnsi" w:hAnsiTheme="minorHAnsi" w:cstheme="majorBidi"/>
          <w:bCs/>
          <w:i/>
          <w:iCs/>
          <w:color w:val="1F497D" w:themeColor="text2"/>
          <w:sz w:val="22"/>
          <w:szCs w:val="22"/>
        </w:rPr>
      </w:pPr>
      <w:bookmarkStart w:id="37" w:name="_Toc367720299"/>
      <w:r w:rsidRPr="00343052">
        <w:rPr>
          <w:rFonts w:asciiTheme="minorHAnsi" w:hAnsiTheme="minorHAnsi" w:cstheme="majorBidi"/>
          <w:bCs/>
          <w:i/>
          <w:iCs/>
          <w:color w:val="1F497D" w:themeColor="text2"/>
          <w:sz w:val="22"/>
          <w:szCs w:val="22"/>
        </w:rPr>
        <w:t>Understanding prior to the conflict</w:t>
      </w:r>
      <w:bookmarkEnd w:id="37"/>
    </w:p>
    <w:p w:rsidR="00581BEE" w:rsidRPr="00343052" w:rsidRDefault="00581BEE" w:rsidP="00581BEE">
      <w:pPr>
        <w:tabs>
          <w:tab w:val="left" w:pos="900"/>
          <w:tab w:val="left" w:pos="990"/>
        </w:tabs>
        <w:spacing w:after="0"/>
        <w:jc w:val="both"/>
        <w:rPr>
          <w:rFonts w:cstheme="majorBidi"/>
          <w:bCs/>
          <w:i/>
          <w:color w:val="000000" w:themeColor="text1"/>
        </w:rPr>
      </w:pPr>
      <w:r w:rsidRPr="00343052">
        <w:rPr>
          <w:rFonts w:cstheme="majorBidi"/>
          <w:b/>
          <w:i/>
          <w:color w:val="000000" w:themeColor="text1"/>
        </w:rPr>
        <w:t xml:space="preserve">Mobile phones and internet: </w:t>
      </w:r>
      <w:r w:rsidRPr="00343052">
        <w:rPr>
          <w:rFonts w:cstheme="majorBidi"/>
          <w:bCs/>
          <w:iCs/>
          <w:color w:val="000000" w:themeColor="text1"/>
        </w:rPr>
        <w:t>57% of children use mobile phones and 21% use the internet</w:t>
      </w:r>
      <w:r w:rsidRPr="00343052">
        <w:rPr>
          <w:rStyle w:val="FootnoteReference"/>
          <w:rFonts w:cstheme="majorBidi"/>
          <w:bCs/>
          <w:iCs/>
          <w:color w:val="000000" w:themeColor="text1"/>
        </w:rPr>
        <w:footnoteReference w:id="129"/>
      </w:r>
    </w:p>
    <w:p w:rsidR="00581BEE" w:rsidRPr="00343052" w:rsidRDefault="00581BEE" w:rsidP="00581BEE">
      <w:pPr>
        <w:tabs>
          <w:tab w:val="left" w:pos="900"/>
          <w:tab w:val="left" w:pos="990"/>
        </w:tabs>
        <w:spacing w:after="0"/>
        <w:jc w:val="both"/>
        <w:rPr>
          <w:rFonts w:cstheme="majorBidi"/>
          <w:bCs/>
          <w:i/>
          <w:color w:val="000000" w:themeColor="text1"/>
        </w:rPr>
      </w:pPr>
    </w:p>
    <w:p w:rsidR="00BA44E5" w:rsidRPr="00343052" w:rsidRDefault="00BA44E5" w:rsidP="00BA44E5">
      <w:pPr>
        <w:jc w:val="both"/>
        <w:rPr>
          <w:rFonts w:cstheme="majorBidi"/>
        </w:rPr>
      </w:pPr>
      <w:r w:rsidRPr="00343052">
        <w:rPr>
          <w:b/>
          <w:bCs/>
          <w:noProof/>
        </w:rPr>
        <w:t>Social Sector:</w:t>
      </w:r>
      <w:r w:rsidRPr="00343052">
        <w:rPr>
          <w:noProof/>
        </w:rPr>
        <w:t xml:space="preserve"> </w:t>
      </w:r>
      <w:r w:rsidRPr="00343052">
        <w:rPr>
          <w:rFonts w:cstheme="majorBidi"/>
        </w:rPr>
        <w:t xml:space="preserve">The Syrian Commission for Family Affairs was established in 2003 as the coordinating authority for the implementation of the Convention on the Rights of the Child. However, it lacks clear provisions defining its mandate and its relations with ministries and governmental agencies, and lacks presence at sub-national level. The Syrian Commission for Family Affairs initiated the National Child Protection Plan (2005-2007) that included the establishment of a family protection unit at the national level, creation child protection shelters and a child helpline. However, to date </w:t>
      </w:r>
      <w:r w:rsidRPr="00343052">
        <w:rPr>
          <w:rFonts w:cstheme="majorBidi"/>
        </w:rPr>
        <w:lastRenderedPageBreak/>
        <w:t>these activities have not been carried out.</w:t>
      </w:r>
      <w:r w:rsidRPr="00343052">
        <w:rPr>
          <w:rStyle w:val="FootnoteReference"/>
          <w:rFonts w:cstheme="majorBidi"/>
        </w:rPr>
        <w:footnoteReference w:id="130"/>
      </w:r>
      <w:r w:rsidRPr="00343052">
        <w:rPr>
          <w:rFonts w:cstheme="majorBidi"/>
        </w:rPr>
        <w:t xml:space="preserve">  The social sector in Syria has been poorly resourced, and little information is available on budgetary allocations to children and there is a lack of capacity to monitor the allocation and impact of resources for children. Corruption has been pervasive and resources diverted.</w:t>
      </w:r>
      <w:r w:rsidRPr="00343052">
        <w:rPr>
          <w:rStyle w:val="FootnoteReference"/>
          <w:rFonts w:cstheme="majorBidi"/>
        </w:rPr>
        <w:footnoteReference w:id="131"/>
      </w:r>
      <w:r w:rsidRPr="00343052">
        <w:rPr>
          <w:rFonts w:cstheme="majorBidi"/>
        </w:rPr>
        <w:t xml:space="preserve">  </w:t>
      </w:r>
    </w:p>
    <w:p w:rsidR="002D7297" w:rsidRPr="00343052" w:rsidRDefault="002D7297" w:rsidP="002D7297">
      <w:pPr>
        <w:jc w:val="both"/>
        <w:rPr>
          <w:rFonts w:cstheme="majorBidi"/>
        </w:rPr>
      </w:pPr>
      <w:r w:rsidRPr="00343052">
        <w:rPr>
          <w:rFonts w:cstheme="majorBidi"/>
          <w:b/>
          <w:bCs/>
        </w:rPr>
        <w:t>Birth registration</w:t>
      </w:r>
      <w:r w:rsidRPr="00343052">
        <w:rPr>
          <w:rFonts w:cstheme="majorBidi"/>
        </w:rPr>
        <w:t>: An amendment to the Personal Status Code in 2007 made birth registration compulsory, however, according to the Code the marriage of a Muslim woman with a non-Muslim man is not considered as valid, and as a result the children born within such a marriage are not always recognised nor registered; children born out of wedlock cannot be affiliated to their father, a situation which often leads to their abandonment and subsequent institutionalisation; a mother who wants to register her child born of rape or incest or out of wedlock is required to request a police report to initiate an investigation into the circumstances of the conception of the child; birth registration of children born in remote areas continues to be problematic</w:t>
      </w:r>
      <w:r w:rsidRPr="00343052">
        <w:rPr>
          <w:rFonts w:cstheme="majorBidi"/>
          <w:color w:val="00B050"/>
        </w:rPr>
        <w:t>.</w:t>
      </w:r>
      <w:r w:rsidRPr="00343052">
        <w:rPr>
          <w:rStyle w:val="FootnoteReference"/>
          <w:rFonts w:cstheme="majorBidi"/>
        </w:rPr>
        <w:footnoteReference w:id="132"/>
      </w:r>
      <w:r w:rsidRPr="00343052">
        <w:rPr>
          <w:rStyle w:val="FootnoteReference"/>
          <w:rFonts w:cstheme="majorBidi"/>
        </w:rPr>
        <w:t xml:space="preserve"> </w:t>
      </w:r>
    </w:p>
    <w:p w:rsidR="002D7297" w:rsidRPr="00343052" w:rsidRDefault="002D7297" w:rsidP="002D7297">
      <w:pPr>
        <w:jc w:val="both"/>
        <w:rPr>
          <w:rFonts w:cstheme="majorBidi"/>
        </w:rPr>
      </w:pPr>
      <w:r w:rsidRPr="00343052">
        <w:rPr>
          <w:rFonts w:cstheme="majorBidi"/>
        </w:rPr>
        <w:t>The 2006 MICS found 95.2% of children born in Syria in the 5 years prior to the survey were registered, with no significant gender variations. It did find a correlation between registration and the educational attainment of mothers, as well as the wealth of the household. Lack of knowledge, costs and travel distance were reasons given for not registering births.</w:t>
      </w:r>
      <w:r w:rsidRPr="00343052">
        <w:rPr>
          <w:rStyle w:val="FootnoteReference"/>
          <w:rFonts w:cstheme="majorBidi"/>
        </w:rPr>
        <w:footnoteReference w:id="133"/>
      </w:r>
    </w:p>
    <w:p w:rsidR="001A21A9" w:rsidRPr="00343052" w:rsidRDefault="001A21A9" w:rsidP="001A21A9">
      <w:pPr>
        <w:jc w:val="both"/>
        <w:rPr>
          <w:rFonts w:cstheme="majorBidi"/>
        </w:rPr>
      </w:pPr>
      <w:r w:rsidRPr="00343052">
        <w:rPr>
          <w:rFonts w:cstheme="majorBidi"/>
          <w:b/>
        </w:rPr>
        <w:t>Alternative care services:</w:t>
      </w:r>
      <w:r w:rsidRPr="00343052">
        <w:rPr>
          <w:rFonts w:cstheme="majorBidi"/>
        </w:rPr>
        <w:t xml:space="preserve"> community based alternatives remain extremely limited and </w:t>
      </w:r>
      <w:proofErr w:type="spellStart"/>
      <w:r w:rsidRPr="00343052">
        <w:rPr>
          <w:rFonts w:cstheme="majorBidi"/>
        </w:rPr>
        <w:t>institutionisation</w:t>
      </w:r>
      <w:proofErr w:type="spellEnd"/>
      <w:r w:rsidRPr="00343052">
        <w:rPr>
          <w:rFonts w:cstheme="majorBidi"/>
        </w:rPr>
        <w:t xml:space="preserve"> is therefore frequently used. Alternative care institutions lack adequately trained personnel and are insufficiently monitored by the Ministry of Labour and Social Affairs. Orphans of known parents and those of unknown parents are in separate institutional care facilities. Children placed in orphanages are subjected to negligence, isolation and other forms of ill-treatment.</w:t>
      </w:r>
      <w:r w:rsidRPr="00343052">
        <w:rPr>
          <w:rStyle w:val="FootnoteReference"/>
          <w:rFonts w:cstheme="majorBidi"/>
        </w:rPr>
        <w:footnoteReference w:id="134"/>
      </w:r>
      <w:r w:rsidRPr="00343052">
        <w:rPr>
          <w:rStyle w:val="FootnoteReference"/>
          <w:rFonts w:cstheme="majorBidi"/>
        </w:rPr>
        <w:t xml:space="preserve">  </w:t>
      </w:r>
      <w:r w:rsidRPr="00343052">
        <w:rPr>
          <w:rFonts w:cstheme="majorBidi"/>
        </w:rPr>
        <w:t>(</w:t>
      </w:r>
      <w:proofErr w:type="gramStart"/>
      <w:r w:rsidRPr="00343052">
        <w:rPr>
          <w:rFonts w:cstheme="majorBidi"/>
        </w:rPr>
        <w:t>see</w:t>
      </w:r>
      <w:proofErr w:type="gramEnd"/>
      <w:r w:rsidRPr="00343052">
        <w:rPr>
          <w:rFonts w:cstheme="majorBidi"/>
        </w:rPr>
        <w:t xml:space="preserve"> separated children)</w:t>
      </w:r>
    </w:p>
    <w:p w:rsidR="001A21A9" w:rsidRPr="00343052" w:rsidRDefault="001A21A9" w:rsidP="001A21A9">
      <w:pPr>
        <w:pStyle w:val="ListParagraph"/>
        <w:tabs>
          <w:tab w:val="left" w:pos="900"/>
          <w:tab w:val="left" w:pos="990"/>
        </w:tabs>
        <w:ind w:left="0"/>
        <w:jc w:val="both"/>
        <w:rPr>
          <w:rFonts w:cstheme="majorBidi"/>
        </w:rPr>
      </w:pPr>
      <w:r w:rsidRPr="00343052">
        <w:rPr>
          <w:rFonts w:cstheme="majorBidi"/>
          <w:b/>
          <w:bCs/>
        </w:rPr>
        <w:t xml:space="preserve">Juvenile Correctional Facilities: </w:t>
      </w:r>
      <w:r w:rsidRPr="00343052">
        <w:rPr>
          <w:rFonts w:cstheme="majorBidi"/>
        </w:rPr>
        <w:t>The age of criminal responsibility is 10 years. In 2008 there were 3 types of juvenile care and correctional centres, including 16 observation centres, 6 rehabilitation centres and 6 juvenile wings in adult prisons. Facilities appear to hold children of mixed profiles – convicted juveniles, homeless begging, exploited and abused children.</w:t>
      </w:r>
      <w:r w:rsidRPr="00343052">
        <w:rPr>
          <w:rStyle w:val="FootnoteReference"/>
          <w:rFonts w:cstheme="majorBidi"/>
        </w:rPr>
        <w:footnoteReference w:id="135"/>
      </w:r>
      <w:r w:rsidRPr="00343052">
        <w:rPr>
          <w:rFonts w:cstheme="majorBidi"/>
        </w:rPr>
        <w:t xml:space="preserve"> (</w:t>
      </w:r>
      <w:proofErr w:type="gramStart"/>
      <w:r w:rsidRPr="00343052">
        <w:rPr>
          <w:rFonts w:cstheme="majorBidi"/>
        </w:rPr>
        <w:t>see</w:t>
      </w:r>
      <w:proofErr w:type="gramEnd"/>
      <w:r w:rsidRPr="00343052">
        <w:rPr>
          <w:rFonts w:cstheme="majorBidi"/>
        </w:rPr>
        <w:t xml:space="preserve"> physical violence)</w:t>
      </w:r>
    </w:p>
    <w:p w:rsidR="001A21A9" w:rsidRPr="00343052" w:rsidRDefault="001A21A9" w:rsidP="001A21A9">
      <w:pPr>
        <w:jc w:val="both"/>
        <w:rPr>
          <w:rFonts w:cstheme="majorBidi"/>
        </w:rPr>
      </w:pPr>
      <w:r w:rsidRPr="00343052">
        <w:rPr>
          <w:rFonts w:cstheme="majorBidi"/>
          <w:b/>
          <w:bCs/>
        </w:rPr>
        <w:t>Emergency accommodation:</w:t>
      </w:r>
      <w:r w:rsidRPr="00343052">
        <w:rPr>
          <w:rFonts w:cstheme="majorBidi"/>
        </w:rPr>
        <w:t xml:space="preserve"> several organisations provide emergency accommodation and other services to victims of domestic violence and human trafficking.</w:t>
      </w:r>
      <w:r w:rsidRPr="00343052">
        <w:rPr>
          <w:rStyle w:val="FootnoteReference"/>
          <w:rFonts w:cstheme="majorBidi"/>
        </w:rPr>
        <w:footnoteReference w:id="136"/>
      </w:r>
      <w:r w:rsidRPr="00343052">
        <w:rPr>
          <w:rFonts w:cstheme="majorBidi"/>
        </w:rPr>
        <w:t xml:space="preserve"> </w:t>
      </w:r>
    </w:p>
    <w:p w:rsidR="009608F3" w:rsidRPr="00343052" w:rsidRDefault="009608F3" w:rsidP="009608F3">
      <w:pPr>
        <w:tabs>
          <w:tab w:val="left" w:pos="900"/>
          <w:tab w:val="left" w:pos="990"/>
        </w:tabs>
        <w:spacing w:after="0"/>
        <w:jc w:val="both"/>
        <w:rPr>
          <w:rFonts w:cstheme="majorBidi"/>
          <w:bCs/>
          <w:iCs/>
          <w:color w:val="000000" w:themeColor="text1"/>
        </w:rPr>
      </w:pPr>
      <w:r w:rsidRPr="00343052">
        <w:rPr>
          <w:rFonts w:cstheme="majorBidi"/>
          <w:b/>
          <w:iCs/>
          <w:color w:val="000000" w:themeColor="text1"/>
        </w:rPr>
        <w:t xml:space="preserve">Family Meeting Centres: </w:t>
      </w:r>
      <w:r w:rsidRPr="00343052">
        <w:rPr>
          <w:rFonts w:cstheme="majorBidi"/>
          <w:bCs/>
          <w:iCs/>
          <w:color w:val="000000" w:themeColor="text1"/>
        </w:rPr>
        <w:t xml:space="preserve">In 2008, there were 13 family meeting centres in each governorate across Syria, with the exception of Rural Damascus and </w:t>
      </w:r>
      <w:proofErr w:type="spellStart"/>
      <w:r w:rsidRPr="00343052">
        <w:rPr>
          <w:rFonts w:cstheme="majorBidi"/>
          <w:bCs/>
          <w:iCs/>
          <w:color w:val="000000" w:themeColor="text1"/>
        </w:rPr>
        <w:t>Quneitra</w:t>
      </w:r>
      <w:proofErr w:type="spellEnd"/>
      <w:r w:rsidRPr="00343052">
        <w:rPr>
          <w:rFonts w:cstheme="majorBidi"/>
          <w:bCs/>
          <w:iCs/>
          <w:color w:val="000000" w:themeColor="text1"/>
        </w:rPr>
        <w:t xml:space="preserve">, operated by the Ministry of Justice. Centres aimed at providing a safe and neutral environment for children to have contact with a parent with whom they are not residing. The centres had a social worker among other </w:t>
      </w:r>
      <w:proofErr w:type="gramStart"/>
      <w:r w:rsidRPr="00343052">
        <w:rPr>
          <w:rFonts w:cstheme="majorBidi"/>
          <w:bCs/>
          <w:iCs/>
          <w:color w:val="000000" w:themeColor="text1"/>
        </w:rPr>
        <w:t>staff,</w:t>
      </w:r>
      <w:proofErr w:type="gramEnd"/>
      <w:r w:rsidRPr="00343052">
        <w:rPr>
          <w:rFonts w:cstheme="majorBidi"/>
          <w:bCs/>
          <w:iCs/>
          <w:color w:val="000000" w:themeColor="text1"/>
        </w:rPr>
        <w:t xml:space="preserve"> however they were able to provide the desirable level of support to children and their families. Other challenges included overcrowding, lack of privacy, and were not child-friendly in their design. </w:t>
      </w:r>
      <w:r w:rsidRPr="00343052">
        <w:rPr>
          <w:rFonts w:cstheme="majorBidi"/>
          <w:bCs/>
          <w:iCs/>
          <w:color w:val="000000" w:themeColor="text1"/>
        </w:rPr>
        <w:lastRenderedPageBreak/>
        <w:t>Some centres operated a telephone line to provide counselling and guidance to children and their families, which has also received reports of child abuse and neglect.</w:t>
      </w:r>
      <w:r w:rsidRPr="00343052">
        <w:rPr>
          <w:rStyle w:val="FootnoteReference"/>
          <w:rFonts w:cstheme="majorBidi"/>
          <w:bCs/>
          <w:iCs/>
          <w:color w:val="000000" w:themeColor="text1"/>
        </w:rPr>
        <w:footnoteReference w:id="137"/>
      </w:r>
      <w:r w:rsidRPr="00343052">
        <w:rPr>
          <w:rFonts w:cstheme="majorBidi"/>
          <w:bCs/>
          <w:iCs/>
          <w:color w:val="000000" w:themeColor="text1"/>
        </w:rPr>
        <w:t xml:space="preserve"> </w:t>
      </w:r>
    </w:p>
    <w:p w:rsidR="009608F3" w:rsidRPr="00343052" w:rsidRDefault="009608F3" w:rsidP="009608F3">
      <w:pPr>
        <w:pStyle w:val="ListParagraph"/>
        <w:tabs>
          <w:tab w:val="left" w:pos="900"/>
          <w:tab w:val="left" w:pos="990"/>
        </w:tabs>
        <w:spacing w:after="0"/>
        <w:ind w:left="360"/>
        <w:jc w:val="both"/>
        <w:rPr>
          <w:rFonts w:cstheme="majorBidi"/>
          <w:bCs/>
          <w:iCs/>
          <w:color w:val="000000" w:themeColor="text1"/>
        </w:rPr>
      </w:pPr>
    </w:p>
    <w:p w:rsidR="009608F3" w:rsidRPr="00343052" w:rsidRDefault="009608F3" w:rsidP="009608F3">
      <w:pPr>
        <w:tabs>
          <w:tab w:val="left" w:pos="900"/>
          <w:tab w:val="left" w:pos="990"/>
        </w:tabs>
        <w:spacing w:after="0"/>
        <w:jc w:val="both"/>
        <w:rPr>
          <w:rFonts w:cstheme="majorBidi"/>
          <w:bCs/>
          <w:iCs/>
          <w:color w:val="000000" w:themeColor="text1"/>
        </w:rPr>
      </w:pPr>
      <w:r w:rsidRPr="00343052">
        <w:rPr>
          <w:rFonts w:cstheme="majorBidi"/>
          <w:b/>
          <w:iCs/>
          <w:color w:val="000000" w:themeColor="text1"/>
        </w:rPr>
        <w:t xml:space="preserve">Specialised centres for children with disabilities: </w:t>
      </w:r>
      <w:r w:rsidRPr="00343052">
        <w:rPr>
          <w:rFonts w:cstheme="majorBidi"/>
          <w:bCs/>
          <w:iCs/>
          <w:color w:val="000000" w:themeColor="text1"/>
        </w:rPr>
        <w:t xml:space="preserve">In 2008, there were 32 specialised centres for children with disabilities. Almost half of these were run by NGOs and the rest by the government. </w:t>
      </w:r>
      <w:proofErr w:type="gramStart"/>
      <w:r w:rsidRPr="00343052">
        <w:rPr>
          <w:rFonts w:cstheme="majorBidi"/>
          <w:bCs/>
          <w:iCs/>
          <w:color w:val="000000" w:themeColor="text1"/>
        </w:rPr>
        <w:t>Details on the type of services provided by these centres is</w:t>
      </w:r>
      <w:proofErr w:type="gramEnd"/>
      <w:r w:rsidRPr="00343052">
        <w:rPr>
          <w:rFonts w:cstheme="majorBidi"/>
          <w:bCs/>
          <w:iCs/>
          <w:color w:val="000000" w:themeColor="text1"/>
        </w:rPr>
        <w:t xml:space="preserve"> not available. </w:t>
      </w:r>
    </w:p>
    <w:p w:rsidR="009608F3" w:rsidRPr="00343052" w:rsidRDefault="009608F3" w:rsidP="00581BEE">
      <w:pPr>
        <w:tabs>
          <w:tab w:val="left" w:pos="900"/>
          <w:tab w:val="left" w:pos="990"/>
        </w:tabs>
        <w:spacing w:after="0"/>
        <w:jc w:val="both"/>
        <w:rPr>
          <w:rFonts w:cstheme="majorBidi"/>
          <w:b/>
          <w:i/>
          <w:color w:val="000000" w:themeColor="text1"/>
        </w:rPr>
      </w:pPr>
    </w:p>
    <w:p w:rsidR="00581BEE" w:rsidRPr="00343052" w:rsidRDefault="00581BEE" w:rsidP="00581BEE">
      <w:pPr>
        <w:tabs>
          <w:tab w:val="left" w:pos="900"/>
          <w:tab w:val="left" w:pos="990"/>
        </w:tabs>
        <w:spacing w:after="0"/>
        <w:jc w:val="both"/>
        <w:rPr>
          <w:rFonts w:cstheme="majorBidi"/>
        </w:rPr>
      </w:pPr>
      <w:r w:rsidRPr="00343052">
        <w:rPr>
          <w:rFonts w:cstheme="majorBidi"/>
          <w:b/>
          <w:i/>
          <w:color w:val="000000" w:themeColor="text1"/>
        </w:rPr>
        <w:t>Schools</w:t>
      </w:r>
      <w:r w:rsidRPr="00343052">
        <w:rPr>
          <w:rFonts w:cstheme="majorBidi"/>
          <w:b/>
          <w:color w:val="000000" w:themeColor="text1"/>
        </w:rPr>
        <w:t>:</w:t>
      </w:r>
      <w:r w:rsidRPr="00343052">
        <w:rPr>
          <w:rFonts w:cstheme="majorBidi"/>
          <w:color w:val="000000" w:themeColor="text1"/>
        </w:rPr>
        <w:t xml:space="preserve"> </w:t>
      </w:r>
      <w:r w:rsidRPr="00343052">
        <w:rPr>
          <w:rFonts w:cstheme="majorBidi"/>
        </w:rPr>
        <w:t>Before the conflict, access to basic education was free and more than 90% of primary school-aged children were enrolled – one the highest rates in the Middle East.</w:t>
      </w:r>
      <w:r w:rsidRPr="00343052">
        <w:rPr>
          <w:rStyle w:val="FootnoteReference"/>
          <w:rFonts w:cstheme="majorBidi"/>
        </w:rPr>
        <w:footnoteReference w:id="138"/>
      </w:r>
    </w:p>
    <w:p w:rsidR="00581BEE" w:rsidRPr="00343052" w:rsidRDefault="00581BEE" w:rsidP="00581BEE">
      <w:pPr>
        <w:pStyle w:val="ListParagraph"/>
        <w:tabs>
          <w:tab w:val="left" w:pos="900"/>
          <w:tab w:val="left" w:pos="990"/>
        </w:tabs>
        <w:spacing w:after="0"/>
        <w:ind w:left="360"/>
        <w:jc w:val="both"/>
        <w:rPr>
          <w:rFonts w:cstheme="majorBidi"/>
        </w:rPr>
      </w:pPr>
    </w:p>
    <w:p w:rsidR="00581BEE" w:rsidRPr="00343052" w:rsidRDefault="00581BEE" w:rsidP="00581BEE">
      <w:pPr>
        <w:tabs>
          <w:tab w:val="left" w:pos="900"/>
          <w:tab w:val="left" w:pos="990"/>
        </w:tabs>
        <w:spacing w:after="0"/>
        <w:jc w:val="both"/>
        <w:rPr>
          <w:rFonts w:cstheme="majorBidi"/>
          <w:b/>
        </w:rPr>
      </w:pPr>
      <w:r w:rsidRPr="00343052">
        <w:rPr>
          <w:rFonts w:cstheme="majorBidi"/>
          <w:b/>
        </w:rPr>
        <w:t xml:space="preserve">Hospitals: </w:t>
      </w:r>
      <w:r w:rsidRPr="00343052">
        <w:rPr>
          <w:rFonts w:cstheme="majorBidi"/>
          <w:color w:val="1C1C1C"/>
          <w:shd w:val="clear" w:color="auto" w:fill="FFFFFF"/>
        </w:rPr>
        <w:t>Before the conflict, Syria had a well-functioning health system. The country had trained health workers, medical expertise and a pharmaceutical industry.</w:t>
      </w:r>
    </w:p>
    <w:p w:rsidR="005626AD" w:rsidRPr="00343052" w:rsidRDefault="005626AD" w:rsidP="009608F3">
      <w:pPr>
        <w:pStyle w:val="DeskReview2"/>
        <w:numPr>
          <w:ilvl w:val="0"/>
          <w:numId w:val="0"/>
        </w:numPr>
        <w:spacing w:line="276" w:lineRule="auto"/>
        <w:jc w:val="both"/>
        <w:outlineLvl w:val="2"/>
        <w:rPr>
          <w:rFonts w:asciiTheme="minorHAnsi" w:hAnsiTheme="minorHAnsi" w:cstheme="majorBidi"/>
          <w:b w:val="0"/>
          <w:i/>
          <w:iCs/>
          <w:color w:val="1F497D" w:themeColor="text2"/>
          <w:sz w:val="22"/>
          <w:szCs w:val="22"/>
        </w:rPr>
      </w:pPr>
    </w:p>
    <w:p w:rsidR="005626AD" w:rsidRPr="00343052" w:rsidRDefault="005626AD" w:rsidP="009608F3">
      <w:pPr>
        <w:pStyle w:val="DeskReview2"/>
        <w:numPr>
          <w:ilvl w:val="1"/>
          <w:numId w:val="47"/>
        </w:numPr>
        <w:spacing w:line="276" w:lineRule="auto"/>
        <w:jc w:val="both"/>
        <w:outlineLvl w:val="2"/>
        <w:rPr>
          <w:rFonts w:asciiTheme="minorHAnsi" w:hAnsiTheme="minorHAnsi" w:cstheme="majorBidi"/>
          <w:bCs/>
          <w:i/>
          <w:iCs/>
          <w:color w:val="1F497D" w:themeColor="text2"/>
          <w:sz w:val="22"/>
          <w:szCs w:val="22"/>
        </w:rPr>
      </w:pPr>
      <w:bookmarkStart w:id="38" w:name="_Toc367720300"/>
      <w:r w:rsidRPr="00343052">
        <w:rPr>
          <w:rFonts w:asciiTheme="minorHAnsi" w:hAnsiTheme="minorHAnsi" w:cstheme="majorBidi"/>
          <w:bCs/>
          <w:i/>
          <w:iCs/>
          <w:color w:val="1F497D" w:themeColor="text2"/>
          <w:sz w:val="22"/>
          <w:szCs w:val="22"/>
        </w:rPr>
        <w:t>Understanding since the conflict</w:t>
      </w:r>
      <w:bookmarkEnd w:id="38"/>
    </w:p>
    <w:p w:rsidR="001A21A9" w:rsidRPr="00343052" w:rsidRDefault="001A21A9" w:rsidP="002D7297">
      <w:pPr>
        <w:pStyle w:val="DeskReview2"/>
        <w:numPr>
          <w:ilvl w:val="0"/>
          <w:numId w:val="0"/>
        </w:numPr>
        <w:spacing w:line="276" w:lineRule="auto"/>
        <w:jc w:val="both"/>
        <w:rPr>
          <w:rFonts w:asciiTheme="minorHAnsi" w:hAnsiTheme="minorHAnsi" w:cstheme="majorBidi"/>
          <w:b w:val="0"/>
          <w:bCs/>
          <w:color w:val="auto"/>
          <w:sz w:val="22"/>
          <w:szCs w:val="22"/>
        </w:rPr>
      </w:pPr>
      <w:r w:rsidRPr="00343052">
        <w:rPr>
          <w:rFonts w:asciiTheme="minorHAnsi" w:hAnsiTheme="minorHAnsi" w:cstheme="majorBidi"/>
          <w:bCs/>
          <w:color w:val="auto"/>
          <w:sz w:val="22"/>
          <w:szCs w:val="22"/>
        </w:rPr>
        <w:t>Protection services</w:t>
      </w:r>
      <w:r w:rsidR="002D7297" w:rsidRPr="00343052">
        <w:rPr>
          <w:rFonts w:asciiTheme="minorHAnsi" w:hAnsiTheme="minorHAnsi" w:cstheme="majorBidi"/>
          <w:b w:val="0"/>
          <w:color w:val="auto"/>
          <w:sz w:val="22"/>
          <w:szCs w:val="22"/>
        </w:rPr>
        <w:t>: an assessment of north Syria observes c</w:t>
      </w:r>
      <w:r w:rsidRPr="00343052">
        <w:rPr>
          <w:rFonts w:asciiTheme="minorHAnsi" w:hAnsiTheme="minorHAnsi" w:cstheme="majorBidi"/>
          <w:b w:val="0"/>
          <w:bCs/>
          <w:color w:val="auto"/>
          <w:sz w:val="22"/>
          <w:szCs w:val="22"/>
        </w:rPr>
        <w:t>hildren with disabilities, chronic diseases or from single parent families are particularly vulnerable and do not have equal access to services.  The level of support of protection structures and provision of services varied significantly between areas. In high conflict areas, community based structures were mentioned as the main provider of protection (34%) followed by Local Councils (LC 31%). Local councils include local governance structures such as the LCs themselves but also Relief Committees under their authority, community councils, tribal councils etc. 15% of assessed HCI areas reported no structures in place.</w:t>
      </w:r>
      <w:r w:rsidRPr="00343052">
        <w:rPr>
          <w:rStyle w:val="FootnoteReference"/>
          <w:rFonts w:asciiTheme="minorHAnsi" w:hAnsiTheme="minorHAnsi" w:cstheme="majorBidi"/>
          <w:b w:val="0"/>
          <w:bCs/>
          <w:color w:val="auto"/>
          <w:sz w:val="22"/>
          <w:szCs w:val="22"/>
        </w:rPr>
        <w:footnoteReference w:id="139"/>
      </w:r>
    </w:p>
    <w:p w:rsidR="001A21A9" w:rsidRPr="00343052" w:rsidRDefault="001A21A9" w:rsidP="001A21A9">
      <w:pPr>
        <w:pStyle w:val="DeskReview2"/>
        <w:numPr>
          <w:ilvl w:val="0"/>
          <w:numId w:val="0"/>
        </w:numPr>
        <w:spacing w:line="276" w:lineRule="auto"/>
        <w:jc w:val="both"/>
        <w:rPr>
          <w:rFonts w:asciiTheme="minorHAnsi" w:hAnsiTheme="minorHAnsi" w:cstheme="majorBidi"/>
          <w:b w:val="0"/>
          <w:color w:val="31849B" w:themeColor="accent5" w:themeShade="BF"/>
          <w:sz w:val="22"/>
          <w:szCs w:val="22"/>
        </w:rPr>
      </w:pPr>
    </w:p>
    <w:p w:rsidR="00514137" w:rsidRDefault="00581BEE">
      <w:pPr>
        <w:tabs>
          <w:tab w:val="left" w:pos="900"/>
          <w:tab w:val="left" w:pos="990"/>
        </w:tabs>
        <w:spacing w:after="0"/>
        <w:jc w:val="both"/>
        <w:rPr>
          <w:rFonts w:cstheme="majorBidi"/>
        </w:rPr>
      </w:pPr>
      <w:r w:rsidRPr="00343052">
        <w:rPr>
          <w:rFonts w:cstheme="majorBidi"/>
          <w:b/>
        </w:rPr>
        <w:t xml:space="preserve">Schools: </w:t>
      </w:r>
      <w:r w:rsidR="00514137">
        <w:rPr>
          <w:rFonts w:cstheme="majorBidi"/>
        </w:rPr>
        <w:t>In some areas, children have not attended school in more than 18 months.</w:t>
      </w:r>
      <w:r w:rsidR="00514137">
        <w:rPr>
          <w:rStyle w:val="FootnoteReference"/>
          <w:rFonts w:cstheme="majorBidi"/>
        </w:rPr>
        <w:footnoteReference w:id="140"/>
      </w:r>
      <w:r w:rsidR="00514137">
        <w:rPr>
          <w:rFonts w:cstheme="majorBidi"/>
        </w:rPr>
        <w:t xml:space="preserve"> </w:t>
      </w:r>
      <w:r w:rsidRPr="00343052">
        <w:rPr>
          <w:rFonts w:cstheme="majorBidi"/>
        </w:rPr>
        <w:t xml:space="preserve">It is reported that </w:t>
      </w:r>
      <w:r w:rsidR="00BA44E5" w:rsidRPr="00343052">
        <w:rPr>
          <w:rFonts w:cstheme="majorBidi"/>
        </w:rPr>
        <w:t>2963</w:t>
      </w:r>
      <w:r w:rsidRPr="00343052">
        <w:rPr>
          <w:rFonts w:cstheme="majorBidi"/>
        </w:rPr>
        <w:t xml:space="preserve"> schools have been destroyed since the beginning of the conflict.</w:t>
      </w:r>
      <w:r w:rsidRPr="00343052">
        <w:rPr>
          <w:rStyle w:val="FootnoteReference"/>
          <w:rFonts w:cstheme="majorBidi"/>
        </w:rPr>
        <w:footnoteReference w:id="141"/>
      </w:r>
      <w:r w:rsidRPr="00343052">
        <w:rPr>
          <w:rFonts w:cstheme="majorBidi"/>
        </w:rPr>
        <w:t xml:space="preserve"> In all it is estimated that 20 % of Syria’s school are reported to be non-functional</w:t>
      </w:r>
      <w:r w:rsidR="00757A19">
        <w:rPr>
          <w:rFonts w:cstheme="majorBidi"/>
        </w:rPr>
        <w:t xml:space="preserve"> due to damage or conversion for other uses</w:t>
      </w:r>
      <w:r w:rsidRPr="00343052">
        <w:rPr>
          <w:rStyle w:val="FootnoteReference"/>
          <w:rFonts w:cstheme="majorBidi"/>
        </w:rPr>
        <w:footnoteReference w:id="142"/>
      </w:r>
      <w:r w:rsidR="00757A19">
        <w:rPr>
          <w:rFonts w:cstheme="majorBidi"/>
        </w:rPr>
        <w:t xml:space="preserve">There are numerous incidents of government forces entering schools and using them either as a temporary base or as a detention facility. </w:t>
      </w:r>
      <w:r w:rsidR="000B6EB6">
        <w:rPr>
          <w:rFonts w:cstheme="majorBidi"/>
        </w:rPr>
        <w:t>Opposition groups have also</w:t>
      </w:r>
      <w:r w:rsidR="00757A19">
        <w:rPr>
          <w:rFonts w:cstheme="majorBidi"/>
        </w:rPr>
        <w:t xml:space="preserve"> allegedly used schools in a number of areas as bases, makeshift hospitals and, in some instances, ammunition storage and detention centres. </w:t>
      </w:r>
      <w:r w:rsidR="00DF6644">
        <w:rPr>
          <w:rFonts w:cstheme="majorBidi"/>
        </w:rPr>
        <w:t xml:space="preserve"> </w:t>
      </w:r>
      <w:r w:rsidR="00A12D55">
        <w:rPr>
          <w:rFonts w:cstheme="majorBidi"/>
        </w:rPr>
        <w:t>Palestinian</w:t>
      </w:r>
      <w:r w:rsidR="00514137">
        <w:rPr>
          <w:rFonts w:cstheme="majorBidi"/>
        </w:rPr>
        <w:t xml:space="preserve"> children are equally as affected by the conflict - as of April 2013, 69 of 118 UNWRA schools were closed with only 23,700 of more than 67,000 enrolled pupils attending classes.</w:t>
      </w:r>
      <w:r w:rsidR="00514137" w:rsidRPr="00514137">
        <w:rPr>
          <w:rStyle w:val="FootnoteReference"/>
          <w:rFonts w:cstheme="majorBidi"/>
        </w:rPr>
        <w:t xml:space="preserve"> </w:t>
      </w:r>
      <w:r w:rsidR="00514137">
        <w:rPr>
          <w:rStyle w:val="FootnoteReference"/>
          <w:rFonts w:cstheme="majorBidi"/>
        </w:rPr>
        <w:footnoteReference w:id="143"/>
      </w:r>
      <w:r w:rsidR="00514137">
        <w:rPr>
          <w:rFonts w:cstheme="majorBidi"/>
        </w:rPr>
        <w:t xml:space="preserve"> </w:t>
      </w:r>
    </w:p>
    <w:p w:rsidR="00514137" w:rsidRDefault="00514137" w:rsidP="00514137">
      <w:pPr>
        <w:tabs>
          <w:tab w:val="left" w:pos="900"/>
          <w:tab w:val="left" w:pos="990"/>
        </w:tabs>
        <w:spacing w:after="0"/>
        <w:jc w:val="both"/>
        <w:rPr>
          <w:rFonts w:cstheme="majorBidi"/>
        </w:rPr>
      </w:pPr>
    </w:p>
    <w:p w:rsidR="00581BEE" w:rsidRDefault="00514137" w:rsidP="00514137">
      <w:pPr>
        <w:tabs>
          <w:tab w:val="left" w:pos="900"/>
          <w:tab w:val="left" w:pos="990"/>
        </w:tabs>
        <w:spacing w:after="0"/>
        <w:jc w:val="both"/>
        <w:rPr>
          <w:rFonts w:cstheme="majorBidi"/>
        </w:rPr>
      </w:pPr>
      <w:r>
        <w:rPr>
          <w:rFonts w:cstheme="majorBidi"/>
        </w:rPr>
        <w:t>There are reports that</w:t>
      </w:r>
      <w:r w:rsidR="00581BEE" w:rsidRPr="00343052">
        <w:rPr>
          <w:rFonts w:cstheme="majorBidi"/>
        </w:rPr>
        <w:t xml:space="preserve"> security officers have interrogated students in schools, leaving them and their families in fear of repercussions such as arrests and detention. Soldiers or armed men reportedly assaulted children at demonstrated staged by students in schools, including primary schools. Schools have been fired on while students remain inside and teachers and principals are alleged to have beaten children who oppose the regime.</w:t>
      </w:r>
      <w:r w:rsidR="00581BEE" w:rsidRPr="00343052">
        <w:rPr>
          <w:rStyle w:val="FootnoteReference"/>
          <w:rFonts w:cstheme="majorBidi"/>
        </w:rPr>
        <w:t xml:space="preserve"> </w:t>
      </w:r>
      <w:r w:rsidR="00581BEE" w:rsidRPr="00343052">
        <w:rPr>
          <w:rStyle w:val="FootnoteReference"/>
          <w:rFonts w:cstheme="majorBidi"/>
        </w:rPr>
        <w:footnoteReference w:id="144"/>
      </w:r>
    </w:p>
    <w:p w:rsidR="00D01892" w:rsidRDefault="00D01892" w:rsidP="00BA44E5">
      <w:pPr>
        <w:tabs>
          <w:tab w:val="left" w:pos="900"/>
          <w:tab w:val="left" w:pos="990"/>
        </w:tabs>
        <w:spacing w:after="0"/>
        <w:jc w:val="both"/>
        <w:rPr>
          <w:rFonts w:cstheme="majorBidi"/>
        </w:rPr>
      </w:pPr>
    </w:p>
    <w:p w:rsidR="00757A19" w:rsidRDefault="00757A19" w:rsidP="00BA44E5">
      <w:pPr>
        <w:tabs>
          <w:tab w:val="left" w:pos="900"/>
          <w:tab w:val="left" w:pos="990"/>
        </w:tabs>
        <w:spacing w:after="0"/>
        <w:jc w:val="both"/>
        <w:rPr>
          <w:rFonts w:cstheme="majorBidi"/>
        </w:rPr>
      </w:pPr>
    </w:p>
    <w:p w:rsidR="00581BEE" w:rsidRPr="00343052" w:rsidRDefault="00581BEE">
      <w:pPr>
        <w:spacing w:after="0"/>
        <w:jc w:val="both"/>
        <w:rPr>
          <w:rFonts w:cstheme="majorBidi"/>
          <w:color w:val="1C1C1C"/>
          <w:shd w:val="clear" w:color="auto" w:fill="FFFFFF"/>
        </w:rPr>
      </w:pPr>
      <w:r w:rsidRPr="00343052">
        <w:rPr>
          <w:rFonts w:cstheme="majorBidi"/>
          <w:b/>
        </w:rPr>
        <w:lastRenderedPageBreak/>
        <w:t>Hospitals</w:t>
      </w:r>
      <w:r w:rsidRPr="00343052">
        <w:rPr>
          <w:rFonts w:cstheme="majorBidi"/>
          <w:b/>
          <w:color w:val="31849B" w:themeColor="accent5" w:themeShade="BF"/>
        </w:rPr>
        <w:t xml:space="preserve">: </w:t>
      </w:r>
      <w:r w:rsidRPr="00343052">
        <w:rPr>
          <w:rFonts w:cstheme="majorBidi"/>
          <w:color w:val="1C1C1C"/>
          <w:shd w:val="clear" w:color="auto" w:fill="FFFFFF"/>
        </w:rPr>
        <w:t>As the conflict intensifies, health workers and medical facilities continue to receive threats while medical structures are targeted and destroyed. Health networks are breaking down because of supply problems and drug shortages resulting from the collapse of the pharmaceutical industry from international sanctions imposed on Syria.</w:t>
      </w:r>
      <w:r w:rsidRPr="00343052">
        <w:rPr>
          <w:rStyle w:val="FootnoteReference"/>
          <w:rFonts w:cstheme="majorBidi"/>
          <w:color w:val="1C1C1C"/>
          <w:shd w:val="clear" w:color="auto" w:fill="FFFFFF"/>
        </w:rPr>
        <w:footnoteReference w:id="145"/>
      </w:r>
      <w:r w:rsidRPr="00343052">
        <w:rPr>
          <w:rFonts w:cstheme="majorBidi"/>
          <w:color w:val="1C1C1C"/>
          <w:shd w:val="clear" w:color="auto" w:fill="FFFFFF"/>
        </w:rPr>
        <w:t xml:space="preserve"> The collapsed health care infrastructure, reduced workforce and lack of essential medicines, and lack of health care professions </w:t>
      </w:r>
      <w:proofErr w:type="gramStart"/>
      <w:r w:rsidRPr="00343052">
        <w:rPr>
          <w:rFonts w:cstheme="majorBidi"/>
          <w:color w:val="1C1C1C"/>
          <w:shd w:val="clear" w:color="auto" w:fill="FFFFFF"/>
        </w:rPr>
        <w:t>has</w:t>
      </w:r>
      <w:proofErr w:type="gramEnd"/>
      <w:r w:rsidRPr="00343052">
        <w:rPr>
          <w:rFonts w:cstheme="majorBidi"/>
          <w:color w:val="1C1C1C"/>
          <w:shd w:val="clear" w:color="auto" w:fill="FFFFFF"/>
        </w:rPr>
        <w:t xml:space="preserve"> seriously undermined the capacity to deliver primary and secondary health care.</w:t>
      </w:r>
      <w:r w:rsidRPr="00343052">
        <w:rPr>
          <w:rStyle w:val="FootnoteReference"/>
          <w:rFonts w:cstheme="majorBidi"/>
          <w:color w:val="1C1C1C"/>
          <w:shd w:val="clear" w:color="auto" w:fill="FFFFFF"/>
        </w:rPr>
        <w:t xml:space="preserve"> </w:t>
      </w:r>
      <w:r w:rsidRPr="00343052">
        <w:rPr>
          <w:rStyle w:val="FootnoteReference"/>
          <w:rFonts w:cstheme="majorBidi"/>
          <w:color w:val="1C1C1C"/>
          <w:shd w:val="clear" w:color="auto" w:fill="FFFFFF"/>
        </w:rPr>
        <w:footnoteReference w:id="146"/>
      </w:r>
      <w:r w:rsidRPr="00343052">
        <w:rPr>
          <w:rFonts w:cstheme="majorBidi"/>
          <w:color w:val="1C1C1C"/>
          <w:shd w:val="clear" w:color="auto" w:fill="FFFFFF"/>
        </w:rPr>
        <w:t xml:space="preserve">   According to the World Health Organisation, 37 % of all public hospitals are currently dysfunctional </w:t>
      </w:r>
      <w:r w:rsidRPr="00343052">
        <w:rPr>
          <w:rStyle w:val="FootnoteReference"/>
          <w:rFonts w:cstheme="majorBidi"/>
          <w:color w:val="1C1C1C"/>
          <w:shd w:val="clear" w:color="auto" w:fill="FFFFFF"/>
        </w:rPr>
        <w:footnoteReference w:id="147"/>
      </w:r>
      <w:r w:rsidRPr="00343052">
        <w:rPr>
          <w:rFonts w:cstheme="majorBidi"/>
          <w:color w:val="1C1C1C"/>
          <w:shd w:val="clear" w:color="auto" w:fill="FFFFFF"/>
        </w:rPr>
        <w:t xml:space="preserve"> and an estimated 30,000 Syrian doctors have left the country.</w:t>
      </w:r>
      <w:r w:rsidRPr="00343052">
        <w:rPr>
          <w:rStyle w:val="FootnoteReference"/>
          <w:rFonts w:cstheme="majorBidi"/>
          <w:color w:val="1C1C1C"/>
          <w:shd w:val="clear" w:color="auto" w:fill="FFFFFF"/>
        </w:rPr>
        <w:footnoteReference w:id="148"/>
      </w:r>
      <w:r w:rsidRPr="00343052">
        <w:rPr>
          <w:rFonts w:cstheme="majorBidi"/>
          <w:color w:val="1C1C1C"/>
          <w:shd w:val="clear" w:color="auto" w:fill="FFFFFF"/>
        </w:rPr>
        <w:t xml:space="preserve">  In Damascus, Aleppo and Homs at least 70 % of the health providers live in rural areas and therefore frequently cannot access their work place due to irregular public transportation and unsafe roads with an increasing number of military check points.</w:t>
      </w:r>
      <w:r w:rsidRPr="00343052">
        <w:rPr>
          <w:rStyle w:val="FootnoteReference"/>
          <w:rFonts w:cstheme="majorBidi"/>
          <w:color w:val="1C1C1C"/>
          <w:shd w:val="clear" w:color="auto" w:fill="FFFFFF"/>
        </w:rPr>
        <w:footnoteReference w:id="149"/>
      </w:r>
      <w:r w:rsidRPr="00343052">
        <w:rPr>
          <w:rFonts w:cstheme="majorBidi"/>
          <w:color w:val="1C1C1C"/>
          <w:shd w:val="clear" w:color="auto" w:fill="FFFFFF"/>
        </w:rPr>
        <w:t xml:space="preserve"> Civilians reportedly avoid seeking treatment in government administrated hospitals due to a well-founded fear of arrest. </w:t>
      </w:r>
      <w:proofErr w:type="gramStart"/>
      <w:r w:rsidRPr="00343052">
        <w:rPr>
          <w:rFonts w:cstheme="majorBidi"/>
          <w:color w:val="1C1C1C"/>
          <w:shd w:val="clear" w:color="auto" w:fill="FFFFFF"/>
        </w:rPr>
        <w:t>In Aleppo and Homs, wounded and sick have been refused medical treatment on political and sectarian lines.</w:t>
      </w:r>
      <w:proofErr w:type="gramEnd"/>
      <w:r w:rsidRPr="00343052">
        <w:rPr>
          <w:rStyle w:val="FootnoteReference"/>
          <w:rFonts w:cstheme="majorBidi"/>
          <w:color w:val="1C1C1C"/>
          <w:shd w:val="clear" w:color="auto" w:fill="FFFFFF"/>
        </w:rPr>
        <w:footnoteReference w:id="150"/>
      </w:r>
      <w:r w:rsidRPr="00343052">
        <w:rPr>
          <w:rFonts w:cstheme="majorBidi"/>
          <w:color w:val="1C1C1C"/>
          <w:shd w:val="clear" w:color="auto" w:fill="FFFFFF"/>
        </w:rPr>
        <w:t xml:space="preserve"> </w:t>
      </w:r>
      <w:r w:rsidR="00757A19">
        <w:rPr>
          <w:rFonts w:cstheme="majorBidi"/>
          <w:color w:val="1C1C1C"/>
          <w:shd w:val="clear" w:color="auto" w:fill="FFFFFF"/>
        </w:rPr>
        <w:t xml:space="preserve"> There have been reports of government forces entering hospitals and arresting boys suspected of being </w:t>
      </w:r>
      <w:r w:rsidR="000B6EB6">
        <w:rPr>
          <w:rFonts w:cstheme="majorBidi"/>
          <w:color w:val="1C1C1C"/>
          <w:shd w:val="clear" w:color="auto" w:fill="FFFFFF"/>
        </w:rPr>
        <w:t xml:space="preserve">opposition </w:t>
      </w:r>
      <w:r w:rsidR="00757A19">
        <w:rPr>
          <w:rFonts w:cstheme="majorBidi"/>
          <w:color w:val="1C1C1C"/>
          <w:shd w:val="clear" w:color="auto" w:fill="FFFFFF"/>
        </w:rPr>
        <w:t>sympathizers.</w:t>
      </w:r>
      <w:r w:rsidR="00757A19">
        <w:rPr>
          <w:rStyle w:val="FootnoteReference"/>
          <w:rFonts w:cstheme="majorBidi"/>
          <w:color w:val="1C1C1C"/>
          <w:shd w:val="clear" w:color="auto" w:fill="FFFFFF"/>
        </w:rPr>
        <w:footnoteReference w:id="151"/>
      </w:r>
      <w:r w:rsidR="00757A19">
        <w:rPr>
          <w:rFonts w:cstheme="majorBidi"/>
          <w:color w:val="1C1C1C"/>
          <w:shd w:val="clear" w:color="auto" w:fill="FFFFFF"/>
        </w:rPr>
        <w:t xml:space="preserve"> </w:t>
      </w:r>
    </w:p>
    <w:p w:rsidR="00FF6821" w:rsidRPr="00343052" w:rsidRDefault="00FF6821" w:rsidP="00F67C96">
      <w:pPr>
        <w:pStyle w:val="DeskReview2"/>
        <w:numPr>
          <w:ilvl w:val="0"/>
          <w:numId w:val="0"/>
        </w:numPr>
        <w:spacing w:line="276" w:lineRule="auto"/>
        <w:jc w:val="both"/>
        <w:rPr>
          <w:rFonts w:asciiTheme="minorHAnsi" w:hAnsiTheme="minorHAnsi" w:cstheme="majorBidi"/>
          <w:bCs/>
          <w:i/>
          <w:iCs/>
          <w:color w:val="1F497D" w:themeColor="text2"/>
          <w:sz w:val="22"/>
          <w:szCs w:val="22"/>
        </w:rPr>
      </w:pPr>
    </w:p>
    <w:p w:rsidR="00C84CEA" w:rsidRPr="00343052" w:rsidRDefault="00343052" w:rsidP="00C84CEA">
      <w:pPr>
        <w:autoSpaceDE w:val="0"/>
        <w:autoSpaceDN w:val="0"/>
        <w:adjustRightInd w:val="0"/>
        <w:spacing w:after="0" w:line="240" w:lineRule="auto"/>
        <w:rPr>
          <w:rFonts w:cs="TimesNewRomanPS-BoldMT"/>
          <w:b/>
          <w:bCs/>
          <w:color w:val="000000"/>
          <w:lang w:val="en-US"/>
        </w:rPr>
      </w:pPr>
      <w:r>
        <w:rPr>
          <w:rFonts w:cs="TimesNewRomanPS-BoldMT"/>
          <w:b/>
          <w:bCs/>
          <w:color w:val="000000"/>
          <w:lang w:val="en-US"/>
        </w:rPr>
        <w:t xml:space="preserve">Annex: </w:t>
      </w:r>
      <w:r w:rsidR="00C84CEA" w:rsidRPr="00343052">
        <w:rPr>
          <w:rFonts w:cs="TimesNewRomanPS-BoldMT"/>
          <w:b/>
          <w:bCs/>
          <w:color w:val="000000"/>
          <w:lang w:val="en-US"/>
        </w:rPr>
        <w:t>Syria’s Status of Ratification of the Principal Human Rights Treaties</w:t>
      </w:r>
      <w:r w:rsidR="00C84CEA" w:rsidRPr="00343052">
        <w:rPr>
          <w:rStyle w:val="FootnoteReference"/>
          <w:rFonts w:cs="TimesNewRomanPS-BoldMT"/>
          <w:b/>
          <w:bCs/>
          <w:color w:val="000000"/>
          <w:lang w:val="en-US"/>
        </w:rPr>
        <w:footnoteReference w:id="152"/>
      </w:r>
    </w:p>
    <w:tbl>
      <w:tblPr>
        <w:tblStyle w:val="TableGrid"/>
        <w:tblW w:w="0" w:type="auto"/>
        <w:tblLook w:val="04A0" w:firstRow="1" w:lastRow="0" w:firstColumn="1" w:lastColumn="0" w:noHBand="0" w:noVBand="1"/>
      </w:tblPr>
      <w:tblGrid>
        <w:gridCol w:w="9242"/>
      </w:tblGrid>
      <w:tr w:rsidR="00C84CEA" w:rsidRPr="00343052" w:rsidTr="007D08AB">
        <w:tc>
          <w:tcPr>
            <w:tcW w:w="9242" w:type="dxa"/>
          </w:tcPr>
          <w:p w:rsidR="001D0552" w:rsidRPr="00343052" w:rsidRDefault="00C84CEA" w:rsidP="001D0552">
            <w:pPr>
              <w:autoSpaceDE w:val="0"/>
              <w:autoSpaceDN w:val="0"/>
              <w:adjustRightInd w:val="0"/>
              <w:rPr>
                <w:rFonts w:cs="TimesNewRomanPSMT"/>
                <w:color w:val="000000"/>
                <w:lang w:val="en-US"/>
              </w:rPr>
            </w:pPr>
            <w:r w:rsidRPr="00343052">
              <w:rPr>
                <w:rFonts w:cs="TimesNewRomanPSMT"/>
                <w:color w:val="000000"/>
                <w:lang w:val="en-US"/>
              </w:rPr>
              <w:t>The International Convention for the Suppression of Traffic in Women and Children, 1947</w:t>
            </w:r>
          </w:p>
        </w:tc>
      </w:tr>
      <w:tr w:rsidR="00C84CEA" w:rsidRPr="00343052" w:rsidTr="007D08AB">
        <w:tc>
          <w:tcPr>
            <w:tcW w:w="9242" w:type="dxa"/>
          </w:tcPr>
          <w:p w:rsidR="00C84CEA" w:rsidRPr="00343052" w:rsidRDefault="00C84CEA" w:rsidP="007D08AB">
            <w:pPr>
              <w:autoSpaceDE w:val="0"/>
              <w:autoSpaceDN w:val="0"/>
              <w:adjustRightInd w:val="0"/>
              <w:rPr>
                <w:rFonts w:cs="TimesNewRomanPSMT"/>
                <w:color w:val="000000"/>
                <w:lang w:val="en-US"/>
              </w:rPr>
            </w:pPr>
            <w:r w:rsidRPr="00343052">
              <w:rPr>
                <w:rFonts w:cs="TimesNewRomanPSMT"/>
                <w:color w:val="000000"/>
                <w:lang w:val="en-US"/>
              </w:rPr>
              <w:t>The Slavery Convention, 1954</w:t>
            </w:r>
          </w:p>
        </w:tc>
      </w:tr>
      <w:tr w:rsidR="00C84CEA" w:rsidRPr="00343052" w:rsidTr="007D08AB">
        <w:tc>
          <w:tcPr>
            <w:tcW w:w="9242" w:type="dxa"/>
          </w:tcPr>
          <w:p w:rsidR="00C84CEA" w:rsidRPr="00343052" w:rsidRDefault="00C84CEA" w:rsidP="007D08AB">
            <w:pPr>
              <w:autoSpaceDE w:val="0"/>
              <w:autoSpaceDN w:val="0"/>
              <w:adjustRightInd w:val="0"/>
              <w:rPr>
                <w:rFonts w:cs="TimesNewRomanPSMT"/>
                <w:color w:val="000000"/>
                <w:lang w:val="en-US"/>
              </w:rPr>
            </w:pPr>
            <w:r w:rsidRPr="00343052">
              <w:rPr>
                <w:rFonts w:cs="TimesNewRomanPSMT"/>
                <w:color w:val="000000"/>
                <w:lang w:val="en-US"/>
              </w:rPr>
              <w:t>The Supplementary Convention on the Abolition of Slavery, the Slave Trade, and Institutions and Practices Similar to Slavery, 1958</w:t>
            </w:r>
          </w:p>
        </w:tc>
      </w:tr>
      <w:tr w:rsidR="00C84CEA" w:rsidRPr="00343052" w:rsidTr="007D08AB">
        <w:tc>
          <w:tcPr>
            <w:tcW w:w="9242" w:type="dxa"/>
          </w:tcPr>
          <w:p w:rsidR="00C84CEA" w:rsidRPr="00343052" w:rsidRDefault="00C84CEA" w:rsidP="007D08AB">
            <w:pPr>
              <w:autoSpaceDE w:val="0"/>
              <w:autoSpaceDN w:val="0"/>
              <w:adjustRightInd w:val="0"/>
              <w:rPr>
                <w:rFonts w:cs="TimesNewRomanPSMT"/>
                <w:color w:val="000000"/>
                <w:lang w:val="en-US"/>
              </w:rPr>
            </w:pPr>
            <w:r w:rsidRPr="00343052">
              <w:rPr>
                <w:rFonts w:cs="TimesNewRomanPSMT"/>
                <w:color w:val="000000"/>
                <w:lang w:val="en-US"/>
              </w:rPr>
              <w:t>The Convention for the Suppression of Traffic in Persons and of the Exploitation of the Prostitution of Others, 1959</w:t>
            </w:r>
          </w:p>
        </w:tc>
      </w:tr>
      <w:tr w:rsidR="00C84CEA" w:rsidRPr="00343052" w:rsidTr="007D08AB">
        <w:tc>
          <w:tcPr>
            <w:tcW w:w="9242" w:type="dxa"/>
          </w:tcPr>
          <w:p w:rsidR="00C84CEA" w:rsidRPr="00343052" w:rsidRDefault="00C84CEA" w:rsidP="007D08AB">
            <w:pPr>
              <w:autoSpaceDE w:val="0"/>
              <w:autoSpaceDN w:val="0"/>
              <w:adjustRightInd w:val="0"/>
              <w:rPr>
                <w:rFonts w:cs="TimesNewRomanPSMT"/>
                <w:color w:val="000000"/>
                <w:lang w:val="en-US"/>
              </w:rPr>
            </w:pPr>
            <w:r w:rsidRPr="00343052">
              <w:rPr>
                <w:rFonts w:cs="TimesNewRomanPSMT"/>
                <w:color w:val="000000"/>
                <w:lang w:val="en-US"/>
              </w:rPr>
              <w:t>International Convention on the Elimination of All Forms of Racial Discrimination, 1969</w:t>
            </w:r>
          </w:p>
        </w:tc>
      </w:tr>
      <w:tr w:rsidR="00C84CEA" w:rsidRPr="00343052" w:rsidTr="007D08AB">
        <w:tc>
          <w:tcPr>
            <w:tcW w:w="9242" w:type="dxa"/>
          </w:tcPr>
          <w:p w:rsidR="00C84CEA" w:rsidRPr="00343052" w:rsidRDefault="00C84CEA" w:rsidP="007D08AB">
            <w:pPr>
              <w:autoSpaceDE w:val="0"/>
              <w:autoSpaceDN w:val="0"/>
              <w:adjustRightInd w:val="0"/>
              <w:rPr>
                <w:rFonts w:cs="TimesNewRomanPSMT"/>
                <w:color w:val="000000"/>
                <w:lang w:val="en-US"/>
              </w:rPr>
            </w:pPr>
            <w:r w:rsidRPr="00343052">
              <w:rPr>
                <w:rFonts w:cs="TimesNewRomanPSMT"/>
                <w:color w:val="000000"/>
                <w:lang w:val="en-US"/>
              </w:rPr>
              <w:t>The International Covenant on Economic, Social and Cultural Rights, 1976</w:t>
            </w:r>
          </w:p>
        </w:tc>
      </w:tr>
      <w:tr w:rsidR="00C84CEA" w:rsidRPr="00343052" w:rsidTr="007D08AB">
        <w:tc>
          <w:tcPr>
            <w:tcW w:w="9242" w:type="dxa"/>
          </w:tcPr>
          <w:p w:rsidR="00C84CEA" w:rsidRPr="00343052" w:rsidRDefault="00C84CEA" w:rsidP="007D08AB">
            <w:pPr>
              <w:autoSpaceDE w:val="0"/>
              <w:autoSpaceDN w:val="0"/>
              <w:adjustRightInd w:val="0"/>
              <w:rPr>
                <w:rFonts w:cs="TimesNewRomanPSMT"/>
                <w:color w:val="000000"/>
                <w:lang w:val="en-US"/>
              </w:rPr>
            </w:pPr>
            <w:r w:rsidRPr="00343052">
              <w:rPr>
                <w:rFonts w:cs="TimesNewRomanPSMT"/>
                <w:color w:val="000000"/>
                <w:lang w:val="en-US"/>
              </w:rPr>
              <w:t>The International Covenant on Civil and Political Rights, 1976</w:t>
            </w:r>
          </w:p>
        </w:tc>
      </w:tr>
      <w:tr w:rsidR="00C84CEA" w:rsidRPr="00343052" w:rsidTr="007D08AB">
        <w:tc>
          <w:tcPr>
            <w:tcW w:w="9242" w:type="dxa"/>
          </w:tcPr>
          <w:p w:rsidR="00C84CEA" w:rsidRPr="00343052" w:rsidRDefault="00C84CEA" w:rsidP="007D08AB">
            <w:pPr>
              <w:autoSpaceDE w:val="0"/>
              <w:autoSpaceDN w:val="0"/>
              <w:adjustRightInd w:val="0"/>
              <w:rPr>
                <w:rFonts w:cs="TimesNewRomanPSMT"/>
                <w:color w:val="000000"/>
                <w:lang w:val="en-US"/>
              </w:rPr>
            </w:pPr>
            <w:r w:rsidRPr="00343052">
              <w:rPr>
                <w:rFonts w:cs="TimesNewRomanPSMT"/>
                <w:color w:val="000000"/>
                <w:lang w:val="en-US"/>
              </w:rPr>
              <w:t>The Convention on the Rights of the Child (CRC), 1993</w:t>
            </w:r>
          </w:p>
        </w:tc>
      </w:tr>
      <w:tr w:rsidR="00C84CEA" w:rsidRPr="00343052" w:rsidTr="007D08AB">
        <w:tc>
          <w:tcPr>
            <w:tcW w:w="9242" w:type="dxa"/>
          </w:tcPr>
          <w:p w:rsidR="00C84CEA" w:rsidRPr="00343052" w:rsidRDefault="00C84CEA" w:rsidP="007D08AB">
            <w:pPr>
              <w:autoSpaceDE w:val="0"/>
              <w:autoSpaceDN w:val="0"/>
              <w:adjustRightInd w:val="0"/>
              <w:rPr>
                <w:rFonts w:cs="TimesNewRomanPSMT"/>
                <w:color w:val="000000"/>
                <w:lang w:val="en-US"/>
              </w:rPr>
            </w:pPr>
            <w:r w:rsidRPr="00343052">
              <w:rPr>
                <w:rFonts w:cs="TimesNewRomanPSMT"/>
                <w:color w:val="000000"/>
                <w:lang w:val="en-US"/>
              </w:rPr>
              <w:t>The Protocol to Prevent, Suppress and Punish Trafficking in Persons, especially Women and Children, 2000</w:t>
            </w:r>
          </w:p>
        </w:tc>
      </w:tr>
      <w:tr w:rsidR="00C84CEA" w:rsidRPr="00343052" w:rsidTr="007D08AB">
        <w:tc>
          <w:tcPr>
            <w:tcW w:w="9242" w:type="dxa"/>
          </w:tcPr>
          <w:p w:rsidR="00C84CEA" w:rsidRPr="00343052" w:rsidRDefault="00C84CEA" w:rsidP="007D08AB">
            <w:pPr>
              <w:autoSpaceDE w:val="0"/>
              <w:autoSpaceDN w:val="0"/>
              <w:adjustRightInd w:val="0"/>
              <w:rPr>
                <w:rFonts w:cs="TimesNewRomanPSMT"/>
                <w:color w:val="000000"/>
                <w:lang w:val="en-US"/>
              </w:rPr>
            </w:pPr>
            <w:r w:rsidRPr="00343052">
              <w:rPr>
                <w:rFonts w:cs="TimesNewRomanPSMT"/>
                <w:color w:val="000000"/>
                <w:lang w:val="en-US"/>
              </w:rPr>
              <w:t>The Protocol against the Smuggling of Migrants by Land and Sea , 2000</w:t>
            </w:r>
          </w:p>
        </w:tc>
      </w:tr>
      <w:tr w:rsidR="00C84CEA" w:rsidRPr="00343052" w:rsidTr="007D08AB">
        <w:tc>
          <w:tcPr>
            <w:tcW w:w="9242" w:type="dxa"/>
          </w:tcPr>
          <w:p w:rsidR="00C84CEA" w:rsidRPr="00343052" w:rsidRDefault="00C84CEA" w:rsidP="007D08AB">
            <w:pPr>
              <w:autoSpaceDE w:val="0"/>
              <w:autoSpaceDN w:val="0"/>
              <w:adjustRightInd w:val="0"/>
              <w:rPr>
                <w:rFonts w:cs="TimesNewRomanPSMT"/>
                <w:color w:val="000000"/>
                <w:lang w:val="en-US"/>
              </w:rPr>
            </w:pPr>
            <w:r w:rsidRPr="00343052">
              <w:rPr>
                <w:rFonts w:cs="TimesNewRomanPSMT"/>
                <w:color w:val="000000"/>
                <w:lang w:val="en-US"/>
              </w:rPr>
              <w:t>Optional Protocol to the CRC, on the Involvement of Children in Armed Conflict,2002</w:t>
            </w:r>
          </w:p>
        </w:tc>
      </w:tr>
      <w:tr w:rsidR="00C84CEA" w:rsidRPr="00343052" w:rsidTr="007D08AB">
        <w:tc>
          <w:tcPr>
            <w:tcW w:w="9242" w:type="dxa"/>
          </w:tcPr>
          <w:p w:rsidR="00C84CEA" w:rsidRPr="00343052" w:rsidRDefault="00C84CEA" w:rsidP="007D08AB">
            <w:pPr>
              <w:autoSpaceDE w:val="0"/>
              <w:autoSpaceDN w:val="0"/>
              <w:adjustRightInd w:val="0"/>
              <w:rPr>
                <w:rFonts w:cs="TimesNewRomanPSMT"/>
                <w:color w:val="000000"/>
                <w:lang w:val="en-US"/>
              </w:rPr>
            </w:pPr>
            <w:r w:rsidRPr="00343052">
              <w:rPr>
                <w:rFonts w:cs="TimesNewRomanPSMT"/>
                <w:color w:val="000000"/>
                <w:lang w:val="en-US"/>
              </w:rPr>
              <w:t>Optional Protocol to the CRC on the Rights of the Child on the Sale of Children, Child Prostitution and Child Pornography, 2002</w:t>
            </w:r>
          </w:p>
        </w:tc>
      </w:tr>
      <w:tr w:rsidR="00C84CEA" w:rsidRPr="00343052" w:rsidTr="007D08AB">
        <w:tc>
          <w:tcPr>
            <w:tcW w:w="9242" w:type="dxa"/>
          </w:tcPr>
          <w:p w:rsidR="00C84CEA" w:rsidRPr="00343052" w:rsidRDefault="00C84CEA" w:rsidP="007D08AB">
            <w:pPr>
              <w:autoSpaceDE w:val="0"/>
              <w:autoSpaceDN w:val="0"/>
              <w:adjustRightInd w:val="0"/>
              <w:rPr>
                <w:rFonts w:cs="TimesNewRomanPSMT"/>
                <w:color w:val="000000"/>
                <w:lang w:val="en-US"/>
              </w:rPr>
            </w:pPr>
            <w:r w:rsidRPr="00343052">
              <w:rPr>
                <w:rFonts w:cs="TimesNewRomanPSMT"/>
                <w:color w:val="000000"/>
                <w:lang w:val="en-US"/>
              </w:rPr>
              <w:t>Convention on the Elimination of All Forms of Discrimination against Women, 2002</w:t>
            </w:r>
          </w:p>
        </w:tc>
      </w:tr>
      <w:tr w:rsidR="00C84CEA" w:rsidRPr="00343052" w:rsidTr="007D08AB">
        <w:tc>
          <w:tcPr>
            <w:tcW w:w="9242" w:type="dxa"/>
          </w:tcPr>
          <w:p w:rsidR="00C84CEA" w:rsidRPr="00343052" w:rsidRDefault="00C84CEA" w:rsidP="007D08AB">
            <w:pPr>
              <w:autoSpaceDE w:val="0"/>
              <w:autoSpaceDN w:val="0"/>
              <w:adjustRightInd w:val="0"/>
              <w:rPr>
                <w:rFonts w:cs="TimesNewRomanPSMT"/>
                <w:color w:val="000000"/>
                <w:lang w:val="en-US"/>
              </w:rPr>
            </w:pPr>
            <w:r w:rsidRPr="00343052">
              <w:rPr>
                <w:rFonts w:cs="TimesNewRomanPSMT"/>
                <w:color w:val="000000"/>
                <w:lang w:val="en-US"/>
              </w:rPr>
              <w:t>Convention against Torture and other Cruel, Inhumane or Degrading Treatment or Punishment, 2004</w:t>
            </w:r>
          </w:p>
        </w:tc>
      </w:tr>
      <w:tr w:rsidR="00C84CEA" w:rsidRPr="00343052" w:rsidTr="007D08AB">
        <w:tc>
          <w:tcPr>
            <w:tcW w:w="9242" w:type="dxa"/>
          </w:tcPr>
          <w:p w:rsidR="00C84CEA" w:rsidRPr="00343052" w:rsidRDefault="00C84CEA" w:rsidP="007D08AB">
            <w:pPr>
              <w:autoSpaceDE w:val="0"/>
              <w:autoSpaceDN w:val="0"/>
              <w:adjustRightInd w:val="0"/>
              <w:rPr>
                <w:rFonts w:cs="TimesNewRomanPSMT"/>
                <w:color w:val="000000"/>
                <w:lang w:val="en-US"/>
              </w:rPr>
            </w:pPr>
            <w:r w:rsidRPr="00343052">
              <w:rPr>
                <w:rFonts w:cs="TimesNewRomanPSMT"/>
                <w:color w:val="000000"/>
                <w:lang w:val="en-US"/>
              </w:rPr>
              <w:t>International Convention on the Protection of the Rights of All Migrant Workers and Members of Their Families, 2005</w:t>
            </w:r>
          </w:p>
        </w:tc>
      </w:tr>
      <w:tr w:rsidR="00C84CEA" w:rsidRPr="00343052" w:rsidTr="007D08AB">
        <w:tc>
          <w:tcPr>
            <w:tcW w:w="9242" w:type="dxa"/>
          </w:tcPr>
          <w:p w:rsidR="00C84CEA" w:rsidRPr="00343052" w:rsidRDefault="00C84CEA" w:rsidP="007D08AB">
            <w:pPr>
              <w:autoSpaceDE w:val="0"/>
              <w:autoSpaceDN w:val="0"/>
              <w:adjustRightInd w:val="0"/>
              <w:rPr>
                <w:rFonts w:cs="TimesNewRomanPSMT"/>
                <w:color w:val="000000"/>
                <w:lang w:val="en-US"/>
              </w:rPr>
            </w:pPr>
            <w:r w:rsidRPr="00343052">
              <w:rPr>
                <w:rFonts w:cs="TimesNewRomanPSMT"/>
                <w:color w:val="000000"/>
                <w:lang w:val="en-US"/>
              </w:rPr>
              <w:t>United Nations Convention against Transnational Organized Crime, 2008</w:t>
            </w:r>
          </w:p>
        </w:tc>
      </w:tr>
      <w:tr w:rsidR="00C84CEA" w:rsidRPr="00343052" w:rsidTr="007D08AB">
        <w:tc>
          <w:tcPr>
            <w:tcW w:w="9242" w:type="dxa"/>
          </w:tcPr>
          <w:p w:rsidR="00C84CEA" w:rsidRPr="00343052" w:rsidRDefault="00C84CEA" w:rsidP="007D08AB">
            <w:pPr>
              <w:autoSpaceDE w:val="0"/>
              <w:autoSpaceDN w:val="0"/>
              <w:adjustRightInd w:val="0"/>
              <w:rPr>
                <w:rFonts w:cs="TimesNewRomanPSMT"/>
                <w:color w:val="000000"/>
                <w:lang w:val="en-US"/>
              </w:rPr>
            </w:pPr>
            <w:r w:rsidRPr="00343052">
              <w:rPr>
                <w:rFonts w:cs="TimesNewRomanPSMT"/>
                <w:color w:val="000000"/>
                <w:lang w:val="en-US"/>
              </w:rPr>
              <w:t>Protocol to Prevent, Suppress and Punish Trafficking in Persons, Especially Women and Children, Supplementing the United Nations Convention Against Trans-national Organized Crime, 2008</w:t>
            </w:r>
          </w:p>
        </w:tc>
      </w:tr>
      <w:tr w:rsidR="00C84CEA" w:rsidRPr="00343052" w:rsidTr="007D08AB">
        <w:tc>
          <w:tcPr>
            <w:tcW w:w="9242" w:type="dxa"/>
          </w:tcPr>
          <w:p w:rsidR="00C84CEA" w:rsidRPr="00343052" w:rsidRDefault="00C84CEA" w:rsidP="007D08AB">
            <w:pPr>
              <w:autoSpaceDE w:val="0"/>
              <w:autoSpaceDN w:val="0"/>
              <w:adjustRightInd w:val="0"/>
              <w:rPr>
                <w:rFonts w:cs="TimesNewRomanPSMT"/>
                <w:color w:val="000000"/>
                <w:lang w:val="en-US"/>
              </w:rPr>
            </w:pPr>
            <w:r w:rsidRPr="00343052">
              <w:rPr>
                <w:rFonts w:cs="TimesNewRomanPSMT"/>
                <w:color w:val="000000"/>
                <w:lang w:val="en-US"/>
              </w:rPr>
              <w:t>Protocol Against the Smuggling of Migrants by Land, Sea and Air, Supplementing the United Nations Convention Against Transnational Crime, 2008</w:t>
            </w:r>
          </w:p>
        </w:tc>
      </w:tr>
    </w:tbl>
    <w:p w:rsidR="0054673D" w:rsidRPr="009A50F9" w:rsidRDefault="0054673D" w:rsidP="00F67C96">
      <w:pPr>
        <w:pStyle w:val="DeskReview3"/>
        <w:spacing w:line="276" w:lineRule="auto"/>
        <w:jc w:val="both"/>
        <w:rPr>
          <w:rFonts w:asciiTheme="minorHAnsi" w:eastAsia="KozGoPr6N-Regular" w:hAnsiTheme="minorHAnsi" w:cstheme="majorBidi"/>
          <w:b/>
          <w:color w:val="5F5F5F"/>
        </w:rPr>
      </w:pPr>
      <w:bookmarkStart w:id="39" w:name="_GoBack"/>
      <w:bookmarkEnd w:id="39"/>
    </w:p>
    <w:sectPr w:rsidR="0054673D" w:rsidRPr="009A50F9" w:rsidSect="002F7320">
      <w:endnotePr>
        <w:numFmt w:val="decimal"/>
      </w:endnotePr>
      <w:pgSz w:w="11906" w:h="16838"/>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837" w:rsidRDefault="00FA6837" w:rsidP="0054673D">
      <w:pPr>
        <w:spacing w:after="0" w:line="240" w:lineRule="auto"/>
      </w:pPr>
      <w:r>
        <w:separator/>
      </w:r>
    </w:p>
  </w:endnote>
  <w:endnote w:type="continuationSeparator" w:id="0">
    <w:p w:rsidR="00FA6837" w:rsidRDefault="00FA6837" w:rsidP="0054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KozGoPr6N-Regular">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TT2FA0o00">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D55" w:rsidRDefault="00A12D55" w:rsidP="001452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rsidR="00A12D55" w:rsidRDefault="00A12D55" w:rsidP="00497C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D55" w:rsidRDefault="00A12D55" w:rsidP="001452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7C96">
      <w:rPr>
        <w:rStyle w:val="PageNumber"/>
        <w:noProof/>
      </w:rPr>
      <w:t>20</w:t>
    </w:r>
    <w:r>
      <w:rPr>
        <w:rStyle w:val="PageNumber"/>
      </w:rPr>
      <w:fldChar w:fldCharType="end"/>
    </w:r>
  </w:p>
  <w:p w:rsidR="00A12D55" w:rsidRDefault="00A12D55" w:rsidP="001452B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837" w:rsidRDefault="00FA6837" w:rsidP="0054673D">
      <w:pPr>
        <w:spacing w:after="0" w:line="240" w:lineRule="auto"/>
      </w:pPr>
      <w:r>
        <w:separator/>
      </w:r>
    </w:p>
  </w:footnote>
  <w:footnote w:type="continuationSeparator" w:id="0">
    <w:p w:rsidR="00FA6837" w:rsidRDefault="00FA6837" w:rsidP="0054673D">
      <w:pPr>
        <w:spacing w:after="0" w:line="240" w:lineRule="auto"/>
      </w:pPr>
      <w:r>
        <w:continuationSeparator/>
      </w:r>
    </w:p>
  </w:footnote>
  <w:footnote w:id="1">
    <w:p w:rsidR="00A12D55" w:rsidRPr="00A046B4" w:rsidRDefault="00A12D55" w:rsidP="00FD6CE2">
      <w:pPr>
        <w:autoSpaceDE w:val="0"/>
        <w:autoSpaceDN w:val="0"/>
        <w:adjustRightInd w:val="0"/>
        <w:spacing w:after="0" w:line="240" w:lineRule="auto"/>
        <w:rPr>
          <w:rFonts w:cs="Times New Roman"/>
          <w:sz w:val="16"/>
          <w:szCs w:val="16"/>
        </w:rPr>
      </w:pPr>
      <w:r w:rsidRPr="00711213">
        <w:rPr>
          <w:rStyle w:val="FootnoteReference"/>
          <w:i/>
          <w:iCs/>
          <w:sz w:val="16"/>
          <w:szCs w:val="16"/>
        </w:rPr>
        <w:footnoteRef/>
      </w:r>
      <w:r w:rsidRPr="00711213">
        <w:rPr>
          <w:i/>
          <w:iCs/>
          <w:sz w:val="16"/>
          <w:szCs w:val="16"/>
        </w:rPr>
        <w:t xml:space="preserve"> </w:t>
      </w:r>
      <w:r w:rsidRPr="00D31D6C">
        <w:rPr>
          <w:rFonts w:cs="TimesNewRomanPS-BoldMT"/>
          <w:sz w:val="16"/>
          <w:szCs w:val="16"/>
          <w:lang w:val="en-US"/>
        </w:rPr>
        <w:t xml:space="preserve">UNICEF &amp; SCFA , </w:t>
      </w:r>
      <w:r w:rsidRPr="00D31D6C">
        <w:rPr>
          <w:rFonts w:cs="TimesNewRomanPS-BoldMT"/>
          <w:i/>
          <w:iCs/>
          <w:sz w:val="16"/>
          <w:szCs w:val="16"/>
          <w:lang w:val="en-US"/>
        </w:rPr>
        <w:t>Situation Analysis of Childhood Status in Syria</w:t>
      </w:r>
      <w:r w:rsidRPr="00D31D6C">
        <w:rPr>
          <w:rFonts w:cs="TimesNewRomanPS-BoldMT"/>
          <w:sz w:val="16"/>
          <w:szCs w:val="16"/>
          <w:lang w:val="en-US"/>
        </w:rPr>
        <w:t>, 2008</w:t>
      </w:r>
    </w:p>
  </w:footnote>
  <w:footnote w:id="2">
    <w:p w:rsidR="00A12D55" w:rsidRPr="00B73642" w:rsidRDefault="00A12D55" w:rsidP="009A50F9">
      <w:pPr>
        <w:spacing w:after="0"/>
        <w:jc w:val="both"/>
        <w:rPr>
          <w:rFonts w:ascii="Helv" w:hAnsi="Helv" w:cs="Helv"/>
          <w:color w:val="000000"/>
          <w:sz w:val="16"/>
          <w:szCs w:val="16"/>
          <w:lang w:val="en-US"/>
        </w:rPr>
      </w:pPr>
      <w:r w:rsidRPr="00B9296D">
        <w:rPr>
          <w:rStyle w:val="FootnoteReference"/>
          <w:sz w:val="16"/>
          <w:szCs w:val="16"/>
        </w:rPr>
        <w:footnoteRef/>
      </w:r>
      <w:r>
        <w:t xml:space="preserve"> </w:t>
      </w:r>
      <w:r>
        <w:rPr>
          <w:rFonts w:cs="Arial"/>
          <w:i/>
          <w:iCs/>
          <w:sz w:val="16"/>
          <w:szCs w:val="16"/>
        </w:rPr>
        <w:t xml:space="preserve">UNICEF, </w:t>
      </w:r>
      <w:r w:rsidRPr="00711213">
        <w:rPr>
          <w:rFonts w:eastAsia="KozGoPr6N-Regular" w:cs="Arial"/>
          <w:i/>
          <w:iCs/>
          <w:sz w:val="16"/>
          <w:szCs w:val="16"/>
          <w:lang w:val="en-US"/>
        </w:rPr>
        <w:t>Assessment of the Alternative Care System in the Syrian Arab Republic</w:t>
      </w:r>
      <w:r>
        <w:rPr>
          <w:rFonts w:eastAsia="KozGoPr6N-Regular" w:cs="Arial"/>
          <w:i/>
          <w:iCs/>
          <w:sz w:val="16"/>
          <w:szCs w:val="16"/>
          <w:lang w:val="en-US"/>
        </w:rPr>
        <w:t>,</w:t>
      </w:r>
      <w:r w:rsidRPr="00711213">
        <w:rPr>
          <w:rFonts w:eastAsia="KozGoPr6N-Regular" w:cs="Arial"/>
          <w:i/>
          <w:iCs/>
          <w:sz w:val="16"/>
          <w:szCs w:val="16"/>
          <w:lang w:val="en-US"/>
        </w:rPr>
        <w:t xml:space="preserve"> 2011</w:t>
      </w:r>
    </w:p>
  </w:footnote>
  <w:footnote w:id="3">
    <w:p w:rsidR="00A12D55" w:rsidRPr="00B9296D" w:rsidRDefault="00A12D55" w:rsidP="00B9296D">
      <w:pPr>
        <w:pStyle w:val="FootnoteText"/>
      </w:pPr>
      <w:r w:rsidRPr="00B9296D">
        <w:rPr>
          <w:rStyle w:val="FootnoteReference"/>
          <w:sz w:val="16"/>
          <w:szCs w:val="16"/>
        </w:rPr>
        <w:footnoteRef/>
      </w:r>
      <w:r w:rsidRPr="00B9296D">
        <w:rPr>
          <w:sz w:val="16"/>
          <w:szCs w:val="16"/>
        </w:rPr>
        <w:t xml:space="preserve"> Ibid</w:t>
      </w:r>
    </w:p>
  </w:footnote>
  <w:footnote w:id="4">
    <w:p w:rsidR="00A12D55" w:rsidRPr="00A80D57" w:rsidRDefault="00A12D55" w:rsidP="009A50F9">
      <w:pPr>
        <w:pStyle w:val="FootnoteText"/>
        <w:jc w:val="both"/>
        <w:rPr>
          <w:rFonts w:cs="Arial"/>
          <w:i/>
          <w:sz w:val="16"/>
          <w:szCs w:val="16"/>
        </w:rPr>
      </w:pPr>
      <w:r w:rsidRPr="00711213">
        <w:rPr>
          <w:rFonts w:cs="Arial"/>
          <w:i/>
          <w:iCs/>
          <w:sz w:val="16"/>
          <w:szCs w:val="16"/>
        </w:rPr>
        <w:t xml:space="preserve"> </w:t>
      </w:r>
      <w:r w:rsidRPr="00711213">
        <w:rPr>
          <w:rStyle w:val="FootnoteReference"/>
          <w:rFonts w:cs="Arial"/>
          <w:i/>
          <w:iCs/>
          <w:sz w:val="16"/>
          <w:szCs w:val="16"/>
        </w:rPr>
        <w:footnoteRef/>
      </w:r>
      <w:r w:rsidRPr="00711213">
        <w:rPr>
          <w:rFonts w:cs="Arial"/>
          <w:i/>
          <w:iCs/>
          <w:sz w:val="16"/>
          <w:szCs w:val="16"/>
        </w:rPr>
        <w:t xml:space="preserve"> </w:t>
      </w:r>
      <w:r>
        <w:rPr>
          <w:rFonts w:cs="Arial"/>
          <w:i/>
          <w:iCs/>
          <w:sz w:val="16"/>
          <w:szCs w:val="16"/>
        </w:rPr>
        <w:t>Ibid</w:t>
      </w:r>
    </w:p>
  </w:footnote>
  <w:footnote w:id="5">
    <w:p w:rsidR="00A12D55" w:rsidRPr="009A50F9" w:rsidRDefault="00A12D55">
      <w:pPr>
        <w:pStyle w:val="FootnoteText"/>
        <w:rPr>
          <w:sz w:val="16"/>
          <w:szCs w:val="16"/>
          <w:lang w:val="en-US"/>
        </w:rPr>
      </w:pPr>
      <w:r w:rsidRPr="009A50F9">
        <w:rPr>
          <w:rStyle w:val="FootnoteReference"/>
          <w:sz w:val="16"/>
          <w:szCs w:val="16"/>
        </w:rPr>
        <w:footnoteRef/>
      </w:r>
      <w:r w:rsidRPr="009A50F9">
        <w:rPr>
          <w:sz w:val="16"/>
          <w:szCs w:val="16"/>
        </w:rPr>
        <w:t xml:space="preserve"> </w:t>
      </w:r>
      <w:r w:rsidRPr="009A50F9">
        <w:rPr>
          <w:sz w:val="16"/>
          <w:szCs w:val="16"/>
          <w:lang w:val="en-US"/>
        </w:rPr>
        <w:t xml:space="preserve">UNHCR, </w:t>
      </w:r>
      <w:r w:rsidRPr="009A50F9">
        <w:rPr>
          <w:i/>
          <w:iCs/>
          <w:sz w:val="16"/>
          <w:szCs w:val="16"/>
          <w:lang w:val="en-US"/>
        </w:rPr>
        <w:t>Protecting Refugees Q&amp;A,</w:t>
      </w:r>
      <w:r w:rsidRPr="009A50F9">
        <w:rPr>
          <w:sz w:val="16"/>
          <w:szCs w:val="16"/>
          <w:lang w:val="en-US"/>
        </w:rPr>
        <w:t xml:space="preserve"> 2013</w:t>
      </w:r>
    </w:p>
  </w:footnote>
  <w:footnote w:id="6">
    <w:p w:rsidR="00A12D55" w:rsidRPr="001800FE" w:rsidRDefault="00A12D55" w:rsidP="001800FE">
      <w:pPr>
        <w:pStyle w:val="FootnoteText"/>
        <w:rPr>
          <w:sz w:val="16"/>
          <w:szCs w:val="16"/>
          <w:lang w:val="en-US"/>
        </w:rPr>
      </w:pPr>
      <w:r>
        <w:rPr>
          <w:rStyle w:val="FootnoteReference"/>
        </w:rPr>
        <w:footnoteRef/>
      </w:r>
      <w:r>
        <w:t xml:space="preserve"> </w:t>
      </w:r>
      <w:r>
        <w:rPr>
          <w:sz w:val="16"/>
          <w:szCs w:val="16"/>
          <w:lang w:val="en-US"/>
        </w:rPr>
        <w:t>UNICEF Lebanon Country Office, June 2013</w:t>
      </w:r>
    </w:p>
  </w:footnote>
  <w:footnote w:id="7">
    <w:p w:rsidR="00A12D55" w:rsidRPr="009A50F9" w:rsidRDefault="00A12D55">
      <w:pPr>
        <w:pStyle w:val="FootnoteText"/>
        <w:rPr>
          <w:sz w:val="16"/>
          <w:szCs w:val="16"/>
        </w:rPr>
      </w:pPr>
      <w:r w:rsidRPr="009A50F9">
        <w:rPr>
          <w:rStyle w:val="FootnoteReference"/>
          <w:sz w:val="16"/>
          <w:szCs w:val="16"/>
        </w:rPr>
        <w:footnoteRef/>
      </w:r>
      <w:r w:rsidRPr="009A50F9">
        <w:rPr>
          <w:sz w:val="16"/>
          <w:szCs w:val="16"/>
        </w:rPr>
        <w:t xml:space="preserve"> Data from IRC</w:t>
      </w:r>
    </w:p>
  </w:footnote>
  <w:footnote w:id="8">
    <w:p w:rsidR="00A12D55" w:rsidRPr="002837C6" w:rsidRDefault="00A12D55">
      <w:pPr>
        <w:pStyle w:val="FootnoteText"/>
        <w:rPr>
          <w:i/>
          <w:iCs/>
        </w:rPr>
      </w:pPr>
      <w:r w:rsidRPr="009A50F9">
        <w:rPr>
          <w:rStyle w:val="FootnoteReference"/>
          <w:sz w:val="16"/>
          <w:szCs w:val="16"/>
        </w:rPr>
        <w:footnoteRef/>
      </w:r>
      <w:r w:rsidRPr="009A50F9">
        <w:rPr>
          <w:sz w:val="16"/>
          <w:szCs w:val="16"/>
        </w:rPr>
        <w:t xml:space="preserve"> IRC, </w:t>
      </w:r>
      <w:r w:rsidRPr="009A50F9">
        <w:rPr>
          <w:i/>
          <w:iCs/>
          <w:sz w:val="16"/>
          <w:szCs w:val="16"/>
        </w:rPr>
        <w:t xml:space="preserve">Child Protection Rapid Assessment for </w:t>
      </w:r>
      <w:proofErr w:type="spellStart"/>
      <w:r w:rsidRPr="009A50F9">
        <w:rPr>
          <w:i/>
          <w:iCs/>
          <w:sz w:val="16"/>
          <w:szCs w:val="16"/>
        </w:rPr>
        <w:t>Domiz</w:t>
      </w:r>
      <w:proofErr w:type="spellEnd"/>
      <w:r w:rsidRPr="009A50F9">
        <w:rPr>
          <w:i/>
          <w:iCs/>
          <w:sz w:val="16"/>
          <w:szCs w:val="16"/>
        </w:rPr>
        <w:t xml:space="preserve"> Camp and </w:t>
      </w:r>
      <w:proofErr w:type="spellStart"/>
      <w:r w:rsidRPr="009A50F9">
        <w:rPr>
          <w:i/>
          <w:iCs/>
          <w:sz w:val="16"/>
          <w:szCs w:val="16"/>
        </w:rPr>
        <w:t>Dohuk</w:t>
      </w:r>
      <w:proofErr w:type="spellEnd"/>
      <w:r w:rsidRPr="009A50F9">
        <w:rPr>
          <w:i/>
          <w:iCs/>
          <w:sz w:val="16"/>
          <w:szCs w:val="16"/>
        </w:rPr>
        <w:t xml:space="preserve">, </w:t>
      </w:r>
      <w:r w:rsidRPr="009A50F9">
        <w:rPr>
          <w:sz w:val="16"/>
          <w:szCs w:val="16"/>
        </w:rPr>
        <w:t>January 2013</w:t>
      </w:r>
    </w:p>
  </w:footnote>
  <w:footnote w:id="9">
    <w:p w:rsidR="00A12D55" w:rsidRPr="00A046B4" w:rsidRDefault="00A12D55" w:rsidP="00AE7876">
      <w:pPr>
        <w:pStyle w:val="FootnoteText"/>
        <w:rPr>
          <w:i/>
          <w:iCs/>
          <w:sz w:val="16"/>
          <w:szCs w:val="16"/>
        </w:rPr>
      </w:pPr>
      <w:r w:rsidRPr="00A046B4">
        <w:rPr>
          <w:rStyle w:val="FootnoteReference"/>
          <w:i/>
          <w:iCs/>
          <w:sz w:val="16"/>
          <w:szCs w:val="16"/>
        </w:rPr>
        <w:footnoteRef/>
      </w:r>
      <w:r w:rsidRPr="00A046B4">
        <w:rPr>
          <w:i/>
          <w:iCs/>
          <w:sz w:val="16"/>
          <w:szCs w:val="16"/>
        </w:rPr>
        <w:t xml:space="preserve"> Save the Children, Childhood Under Fire: The Impact of Two Years of Conflict in Syria, March 2013</w:t>
      </w:r>
    </w:p>
  </w:footnote>
  <w:footnote w:id="10">
    <w:p w:rsidR="00A12D55" w:rsidRPr="00A046B4" w:rsidRDefault="00A12D55" w:rsidP="000F0C01">
      <w:pPr>
        <w:pStyle w:val="FootnoteText"/>
        <w:rPr>
          <w:i/>
          <w:iCs/>
          <w:sz w:val="16"/>
          <w:szCs w:val="16"/>
        </w:rPr>
      </w:pPr>
      <w:r w:rsidRPr="00A046B4">
        <w:rPr>
          <w:rStyle w:val="FootnoteReference"/>
          <w:i/>
          <w:iCs/>
          <w:sz w:val="16"/>
          <w:szCs w:val="16"/>
        </w:rPr>
        <w:footnoteRef/>
      </w:r>
      <w:r w:rsidRPr="00A046B4">
        <w:rPr>
          <w:i/>
          <w:iCs/>
          <w:sz w:val="16"/>
          <w:szCs w:val="16"/>
        </w:rPr>
        <w:t xml:space="preserve"> </w:t>
      </w:r>
      <w:r w:rsidRPr="00A046B4">
        <w:rPr>
          <w:rFonts w:cs="Times New Roman"/>
          <w:sz w:val="16"/>
          <w:szCs w:val="16"/>
        </w:rPr>
        <w:t xml:space="preserve">Assessment Working Group for North Syria, </w:t>
      </w:r>
      <w:r w:rsidRPr="00A046B4">
        <w:rPr>
          <w:rFonts w:cs="Times New Roman"/>
          <w:i/>
          <w:iCs/>
          <w:sz w:val="16"/>
          <w:szCs w:val="16"/>
        </w:rPr>
        <w:t>Joint Rapid Needs Assessment of Syria II Final Report</w:t>
      </w:r>
      <w:r w:rsidRPr="00A046B4">
        <w:rPr>
          <w:rFonts w:cs="Times New Roman"/>
          <w:sz w:val="16"/>
          <w:szCs w:val="16"/>
        </w:rPr>
        <w:t>, 22 May 2013</w:t>
      </w:r>
    </w:p>
  </w:footnote>
  <w:footnote w:id="11">
    <w:p w:rsidR="00A12D55" w:rsidRPr="00711213" w:rsidRDefault="00A12D55" w:rsidP="00773D36">
      <w:pPr>
        <w:pStyle w:val="FootnoteText"/>
        <w:rPr>
          <w:rFonts w:cs="Arial"/>
          <w:i/>
          <w:iCs/>
          <w:sz w:val="16"/>
          <w:szCs w:val="16"/>
        </w:rPr>
      </w:pPr>
      <w:r w:rsidRPr="004845B1">
        <w:rPr>
          <w:rStyle w:val="FootnoteReference"/>
          <w:rFonts w:cs="Arial"/>
          <w:i/>
          <w:iCs/>
          <w:sz w:val="16"/>
          <w:szCs w:val="16"/>
        </w:rPr>
        <w:footnoteRef/>
      </w:r>
      <w:r w:rsidRPr="004845B1">
        <w:rPr>
          <w:rFonts w:cs="Arial"/>
          <w:i/>
          <w:iCs/>
          <w:sz w:val="16"/>
          <w:szCs w:val="16"/>
        </w:rPr>
        <w:t xml:space="preserve"> </w:t>
      </w:r>
      <w:r w:rsidRPr="004845B1">
        <w:rPr>
          <w:rFonts w:cs="Arial"/>
          <w:sz w:val="16"/>
          <w:szCs w:val="16"/>
        </w:rPr>
        <w:t>Human Rights Council,</w:t>
      </w:r>
      <w:r w:rsidRPr="004845B1">
        <w:rPr>
          <w:rFonts w:cs="Arial"/>
          <w:i/>
          <w:iCs/>
          <w:sz w:val="16"/>
          <w:szCs w:val="16"/>
        </w:rPr>
        <w:t xml:space="preserve"> ‘Report of  the Special Rapporteur on the Right to Food, Olivier De </w:t>
      </w:r>
      <w:proofErr w:type="spellStart"/>
      <w:r w:rsidRPr="004845B1">
        <w:rPr>
          <w:rFonts w:cs="Arial"/>
          <w:i/>
          <w:iCs/>
          <w:sz w:val="16"/>
          <w:szCs w:val="16"/>
        </w:rPr>
        <w:t>Schutter</w:t>
      </w:r>
      <w:proofErr w:type="spellEnd"/>
      <w:r w:rsidRPr="004845B1">
        <w:rPr>
          <w:rFonts w:cs="Arial"/>
          <w:i/>
          <w:iCs/>
          <w:sz w:val="16"/>
          <w:szCs w:val="16"/>
        </w:rPr>
        <w:t xml:space="preserve"> Addendum Mission to the Syrian Arab Republic’, A/HRC/16/49/Add.2, </w:t>
      </w:r>
      <w:r w:rsidRPr="004845B1">
        <w:rPr>
          <w:rFonts w:cs="Arial"/>
          <w:sz w:val="16"/>
          <w:szCs w:val="16"/>
        </w:rPr>
        <w:t>27 January 2011</w:t>
      </w:r>
    </w:p>
  </w:footnote>
  <w:footnote w:id="12">
    <w:p w:rsidR="00A12D55" w:rsidRPr="00A71958" w:rsidRDefault="00A12D55" w:rsidP="005626AD">
      <w:pPr>
        <w:pStyle w:val="FootnoteText"/>
      </w:pPr>
      <w:r w:rsidRPr="00A71958">
        <w:rPr>
          <w:rStyle w:val="FootnoteReference"/>
          <w:sz w:val="16"/>
          <w:szCs w:val="16"/>
        </w:rPr>
        <w:footnoteRef/>
      </w:r>
      <w:r w:rsidRPr="00A71958">
        <w:rPr>
          <w:sz w:val="16"/>
          <w:szCs w:val="16"/>
        </w:rPr>
        <w:t xml:space="preserve"> </w:t>
      </w:r>
      <w:r>
        <w:rPr>
          <w:sz w:val="16"/>
          <w:szCs w:val="16"/>
        </w:rPr>
        <w:t xml:space="preserve">UNICEF, </w:t>
      </w:r>
      <w:r>
        <w:rPr>
          <w:i/>
          <w:iCs/>
          <w:sz w:val="16"/>
          <w:szCs w:val="16"/>
        </w:rPr>
        <w:t xml:space="preserve">State of the World’s Children, </w:t>
      </w:r>
      <w:r>
        <w:rPr>
          <w:sz w:val="16"/>
          <w:szCs w:val="16"/>
        </w:rPr>
        <w:t>2012</w:t>
      </w:r>
    </w:p>
  </w:footnote>
  <w:footnote w:id="13">
    <w:p w:rsidR="00A12D55" w:rsidRPr="00A046B4" w:rsidRDefault="00A12D55" w:rsidP="00A046B4">
      <w:pPr>
        <w:autoSpaceDE w:val="0"/>
        <w:autoSpaceDN w:val="0"/>
        <w:adjustRightInd w:val="0"/>
        <w:spacing w:after="0" w:line="240" w:lineRule="auto"/>
        <w:rPr>
          <w:rFonts w:cs="Times New Roman"/>
          <w:sz w:val="16"/>
          <w:szCs w:val="16"/>
        </w:rPr>
      </w:pPr>
      <w:r w:rsidRPr="00A046B4">
        <w:rPr>
          <w:rStyle w:val="FootnoteReference"/>
          <w:sz w:val="16"/>
          <w:szCs w:val="16"/>
        </w:rPr>
        <w:footnoteRef/>
      </w:r>
      <w:r w:rsidRPr="00A046B4">
        <w:rPr>
          <w:sz w:val="16"/>
          <w:szCs w:val="16"/>
        </w:rPr>
        <w:t xml:space="preserve"> </w:t>
      </w:r>
      <w:r w:rsidRPr="00A046B4">
        <w:rPr>
          <w:rFonts w:cs="TimesNewRomanPS-BoldMT"/>
          <w:sz w:val="16"/>
          <w:szCs w:val="16"/>
          <w:lang w:val="en-US"/>
        </w:rPr>
        <w:t xml:space="preserve">UNICEF &amp; SCFA , </w:t>
      </w:r>
      <w:r w:rsidRPr="00A046B4">
        <w:rPr>
          <w:rFonts w:cs="TimesNewRomanPS-BoldMT"/>
          <w:i/>
          <w:iCs/>
          <w:sz w:val="16"/>
          <w:szCs w:val="16"/>
          <w:lang w:val="en-US"/>
        </w:rPr>
        <w:t>Situation Analysis of Childhood Status in Syria</w:t>
      </w:r>
      <w:r w:rsidRPr="00A046B4">
        <w:rPr>
          <w:rFonts w:cs="TimesNewRomanPS-BoldMT"/>
          <w:sz w:val="16"/>
          <w:szCs w:val="16"/>
          <w:lang w:val="en-US"/>
        </w:rPr>
        <w:t>, 2008</w:t>
      </w:r>
    </w:p>
  </w:footnote>
  <w:footnote w:id="14">
    <w:p w:rsidR="00A12D55" w:rsidRPr="00BA44E5" w:rsidRDefault="00A12D55">
      <w:pPr>
        <w:pStyle w:val="FootnoteText"/>
        <w:rPr>
          <w:sz w:val="16"/>
          <w:szCs w:val="16"/>
        </w:rPr>
      </w:pPr>
      <w:r w:rsidRPr="00BA44E5">
        <w:rPr>
          <w:rStyle w:val="FootnoteReference"/>
          <w:i/>
          <w:iCs/>
        </w:rPr>
        <w:footnoteRef/>
      </w:r>
      <w:r w:rsidRPr="00BA44E5">
        <w:rPr>
          <w:i/>
          <w:iCs/>
        </w:rPr>
        <w:t xml:space="preserve"> </w:t>
      </w:r>
      <w:r w:rsidRPr="00BA44E5">
        <w:rPr>
          <w:i/>
          <w:iCs/>
          <w:sz w:val="16"/>
          <w:szCs w:val="16"/>
        </w:rPr>
        <w:t>Ibid</w:t>
      </w:r>
    </w:p>
  </w:footnote>
  <w:footnote w:id="15">
    <w:p w:rsidR="00A12D55" w:rsidRPr="00A046B4" w:rsidRDefault="00A12D55" w:rsidP="00A046B4">
      <w:pPr>
        <w:autoSpaceDE w:val="0"/>
        <w:autoSpaceDN w:val="0"/>
        <w:adjustRightInd w:val="0"/>
        <w:spacing w:after="0" w:line="240" w:lineRule="auto"/>
        <w:rPr>
          <w:rFonts w:cs="Times New Roman"/>
          <w:sz w:val="16"/>
          <w:szCs w:val="16"/>
        </w:rPr>
      </w:pPr>
      <w:r w:rsidRPr="00A046B4">
        <w:rPr>
          <w:rStyle w:val="FootnoteReference"/>
          <w:sz w:val="16"/>
          <w:szCs w:val="16"/>
        </w:rPr>
        <w:footnoteRef/>
      </w:r>
      <w:r>
        <w:t xml:space="preserve"> </w:t>
      </w:r>
      <w:r w:rsidRPr="00D31D6C">
        <w:rPr>
          <w:rFonts w:cs="TimesNewRomanPS-BoldMT"/>
          <w:sz w:val="16"/>
          <w:szCs w:val="16"/>
          <w:lang w:val="en-US"/>
        </w:rPr>
        <w:t xml:space="preserve">UNICEF &amp; SCFA , </w:t>
      </w:r>
      <w:r w:rsidRPr="00D31D6C">
        <w:rPr>
          <w:rFonts w:cs="TimesNewRomanPS-BoldMT"/>
          <w:i/>
          <w:iCs/>
          <w:sz w:val="16"/>
          <w:szCs w:val="16"/>
          <w:lang w:val="en-US"/>
        </w:rPr>
        <w:t>Situation Analysis of Childhood Status in Syria</w:t>
      </w:r>
      <w:r w:rsidRPr="00D31D6C">
        <w:rPr>
          <w:rFonts w:cs="TimesNewRomanPS-BoldMT"/>
          <w:sz w:val="16"/>
          <w:szCs w:val="16"/>
          <w:lang w:val="en-US"/>
        </w:rPr>
        <w:t>, 2008</w:t>
      </w:r>
    </w:p>
  </w:footnote>
  <w:footnote w:id="16">
    <w:p w:rsidR="00A12D55" w:rsidRPr="00D31D6C" w:rsidRDefault="00A12D55" w:rsidP="00226501">
      <w:pPr>
        <w:autoSpaceDE w:val="0"/>
        <w:autoSpaceDN w:val="0"/>
        <w:adjustRightInd w:val="0"/>
        <w:spacing w:after="0" w:line="240" w:lineRule="auto"/>
        <w:rPr>
          <w:rFonts w:cs="TimesNewRomanPS-BoldMT"/>
          <w:i/>
          <w:iCs/>
          <w:sz w:val="16"/>
          <w:szCs w:val="16"/>
          <w:lang w:val="en-US"/>
        </w:rPr>
      </w:pPr>
      <w:r w:rsidRPr="00B04B5B">
        <w:rPr>
          <w:rStyle w:val="FootnoteReference"/>
          <w:sz w:val="16"/>
          <w:szCs w:val="16"/>
        </w:rPr>
        <w:footnoteRef/>
      </w:r>
      <w:r>
        <w:t xml:space="preserve"> </w:t>
      </w:r>
      <w:r w:rsidRPr="00D31D6C">
        <w:rPr>
          <w:rFonts w:cs="TimesNewRomanPS-BoldMT"/>
          <w:sz w:val="16"/>
          <w:szCs w:val="16"/>
          <w:lang w:val="en-US"/>
        </w:rPr>
        <w:t xml:space="preserve">Human Rights Council, </w:t>
      </w:r>
      <w:r>
        <w:rPr>
          <w:rFonts w:cs="TimesNewRomanPS-BoldMT"/>
          <w:sz w:val="16"/>
          <w:szCs w:val="16"/>
          <w:lang w:val="en-US"/>
        </w:rPr>
        <w:t>23</w:t>
      </w:r>
      <w:r w:rsidRPr="00045ACA">
        <w:rPr>
          <w:rFonts w:cs="TimesNewRomanPS-BoldMT"/>
          <w:sz w:val="16"/>
          <w:szCs w:val="16"/>
          <w:vertAlign w:val="superscript"/>
          <w:lang w:val="en-US"/>
        </w:rPr>
        <w:t>rd</w:t>
      </w:r>
      <w:r>
        <w:rPr>
          <w:rFonts w:cs="TimesNewRomanPS-BoldMT"/>
          <w:sz w:val="16"/>
          <w:szCs w:val="16"/>
          <w:lang w:val="en-US"/>
        </w:rPr>
        <w:t xml:space="preserve"> Session, </w:t>
      </w:r>
      <w:r w:rsidRPr="00D31D6C">
        <w:rPr>
          <w:rFonts w:cs="TimesNewRomanPS-BoldMT"/>
          <w:i/>
          <w:iCs/>
          <w:sz w:val="16"/>
          <w:szCs w:val="16"/>
          <w:lang w:val="en-US"/>
        </w:rPr>
        <w:t>Report of the Independent International Commission of Inquiry on the Syrian Arab</w:t>
      </w:r>
    </w:p>
    <w:p w:rsidR="00A12D55" w:rsidRPr="00226501" w:rsidRDefault="00A12D55" w:rsidP="00226501">
      <w:pPr>
        <w:spacing w:after="0" w:line="240" w:lineRule="auto"/>
        <w:rPr>
          <w:rFonts w:cs="Times New Roman"/>
          <w:sz w:val="16"/>
          <w:szCs w:val="16"/>
        </w:rPr>
      </w:pPr>
      <w:r w:rsidRPr="00D31D6C">
        <w:rPr>
          <w:rFonts w:cs="TimesNewRomanPS-BoldMT"/>
          <w:i/>
          <w:iCs/>
          <w:sz w:val="16"/>
          <w:szCs w:val="16"/>
          <w:lang w:val="en-US"/>
        </w:rPr>
        <w:t>Republic</w:t>
      </w:r>
      <w:r w:rsidRPr="00D31D6C">
        <w:rPr>
          <w:rFonts w:cs="TimesNewRomanPS-BoldMT"/>
          <w:sz w:val="16"/>
          <w:szCs w:val="16"/>
          <w:lang w:val="en-US"/>
        </w:rPr>
        <w:t>, June 2013</w:t>
      </w:r>
    </w:p>
  </w:footnote>
  <w:footnote w:id="17">
    <w:p w:rsidR="00A12D55" w:rsidRPr="00C575E8" w:rsidRDefault="00A12D55" w:rsidP="00C575E8">
      <w:pPr>
        <w:pStyle w:val="FootnoteText"/>
        <w:rPr>
          <w:sz w:val="16"/>
          <w:szCs w:val="16"/>
        </w:rPr>
      </w:pPr>
      <w:r w:rsidRPr="00C575E8">
        <w:rPr>
          <w:rStyle w:val="FootnoteReference"/>
          <w:i/>
          <w:iCs/>
          <w:sz w:val="16"/>
          <w:szCs w:val="16"/>
        </w:rPr>
        <w:footnoteRef/>
      </w:r>
      <w:r w:rsidRPr="00C575E8">
        <w:rPr>
          <w:i/>
          <w:iCs/>
          <w:sz w:val="16"/>
          <w:szCs w:val="16"/>
        </w:rPr>
        <w:t xml:space="preserve"> </w:t>
      </w:r>
      <w:r w:rsidRPr="00C575E8">
        <w:rPr>
          <w:sz w:val="16"/>
          <w:szCs w:val="16"/>
        </w:rPr>
        <w:t>Commission of Inquiry</w:t>
      </w:r>
      <w:r>
        <w:rPr>
          <w:i/>
          <w:iCs/>
          <w:sz w:val="16"/>
          <w:szCs w:val="16"/>
        </w:rPr>
        <w:t xml:space="preserve">, </w:t>
      </w:r>
      <w:r w:rsidRPr="00B04B5B">
        <w:rPr>
          <w:sz w:val="16"/>
          <w:szCs w:val="16"/>
        </w:rPr>
        <w:t>Independent International Commission of Inquiry on the Syrian Arab Republic</w:t>
      </w:r>
    </w:p>
  </w:footnote>
  <w:footnote w:id="18">
    <w:p w:rsidR="00A12D55" w:rsidRPr="00D87BC5" w:rsidRDefault="00A12D55" w:rsidP="000A1895">
      <w:pPr>
        <w:pStyle w:val="FootnoteText"/>
        <w:rPr>
          <w:i/>
          <w:iCs/>
          <w:sz w:val="16"/>
          <w:szCs w:val="16"/>
        </w:rPr>
      </w:pPr>
      <w:r w:rsidRPr="00D87BC5">
        <w:rPr>
          <w:rStyle w:val="FootnoteReference"/>
          <w:i/>
          <w:iCs/>
          <w:sz w:val="16"/>
          <w:szCs w:val="16"/>
        </w:rPr>
        <w:footnoteRef/>
      </w:r>
      <w:r>
        <w:rPr>
          <w:i/>
          <w:iCs/>
          <w:sz w:val="16"/>
          <w:szCs w:val="16"/>
        </w:rPr>
        <w:t xml:space="preserve"> </w:t>
      </w:r>
      <w:r w:rsidRPr="00F97D5B">
        <w:rPr>
          <w:sz w:val="16"/>
          <w:szCs w:val="16"/>
        </w:rPr>
        <w:t xml:space="preserve">Human Rights Council Commission of Inquiry on Syria, March 2013 in </w:t>
      </w:r>
      <w:r w:rsidRPr="00F97D5B">
        <w:rPr>
          <w:sz w:val="16"/>
          <w:szCs w:val="16"/>
          <w:lang w:val="en-US"/>
        </w:rPr>
        <w:t>OCHA,</w:t>
      </w:r>
      <w:r w:rsidRPr="00A80D57">
        <w:rPr>
          <w:i/>
          <w:sz w:val="16"/>
          <w:szCs w:val="16"/>
          <w:lang w:val="en-US"/>
        </w:rPr>
        <w:t xml:space="preserve"> Syria Humanitarian Needs Overview, </w:t>
      </w:r>
      <w:r w:rsidRPr="00F97D5B">
        <w:rPr>
          <w:iCs/>
          <w:sz w:val="16"/>
          <w:szCs w:val="16"/>
          <w:lang w:val="en-US"/>
        </w:rPr>
        <w:t>26 April 2013</w:t>
      </w:r>
      <w:r w:rsidRPr="00D87BC5">
        <w:rPr>
          <w:i/>
          <w:iCs/>
          <w:sz w:val="16"/>
          <w:szCs w:val="16"/>
        </w:rPr>
        <w:t xml:space="preserve"> </w:t>
      </w:r>
    </w:p>
  </w:footnote>
  <w:footnote w:id="19">
    <w:p w:rsidR="00A12D55" w:rsidRPr="00711213" w:rsidRDefault="00A12D55" w:rsidP="00D87BC5">
      <w:pPr>
        <w:pStyle w:val="FootnoteText"/>
        <w:rPr>
          <w:i/>
          <w:iCs/>
          <w:sz w:val="16"/>
          <w:szCs w:val="16"/>
          <w:lang w:val="en-US"/>
        </w:rPr>
      </w:pPr>
      <w:r w:rsidRPr="00711213">
        <w:rPr>
          <w:rStyle w:val="FootnoteReference"/>
          <w:i/>
          <w:iCs/>
          <w:sz w:val="16"/>
          <w:szCs w:val="16"/>
        </w:rPr>
        <w:footnoteRef/>
      </w:r>
      <w:r w:rsidRPr="00711213">
        <w:rPr>
          <w:i/>
          <w:iCs/>
          <w:sz w:val="16"/>
          <w:szCs w:val="16"/>
        </w:rPr>
        <w:t xml:space="preserve"> General assembly GA/11372 15 May 2013</w:t>
      </w:r>
    </w:p>
  </w:footnote>
  <w:footnote w:id="20">
    <w:p w:rsidR="00A12D55" w:rsidRPr="009E56F9" w:rsidRDefault="00A12D55" w:rsidP="000A1895">
      <w:pPr>
        <w:pStyle w:val="FootnoteText"/>
      </w:pPr>
      <w:r w:rsidRPr="00711213">
        <w:rPr>
          <w:rStyle w:val="FootnoteReference"/>
          <w:i/>
          <w:iCs/>
          <w:sz w:val="16"/>
          <w:szCs w:val="16"/>
        </w:rPr>
        <w:footnoteRef/>
      </w:r>
      <w:r w:rsidRPr="00711213">
        <w:rPr>
          <w:i/>
          <w:iCs/>
          <w:sz w:val="16"/>
          <w:szCs w:val="16"/>
        </w:rPr>
        <w:t xml:space="preserve"> </w:t>
      </w:r>
      <w:r w:rsidRPr="00A80D57">
        <w:rPr>
          <w:i/>
          <w:sz w:val="16"/>
          <w:szCs w:val="16"/>
          <w:lang w:val="en-US"/>
        </w:rPr>
        <w:t>OCHA, Syria Humanitarian Needs Overview, 26 April 2013</w:t>
      </w:r>
    </w:p>
  </w:footnote>
  <w:footnote w:id="21">
    <w:p w:rsidR="00A12D55" w:rsidRPr="00773D36" w:rsidRDefault="00A12D55">
      <w:pPr>
        <w:pStyle w:val="FootnoteText"/>
      </w:pPr>
      <w:r>
        <w:rPr>
          <w:rStyle w:val="FootnoteReference"/>
        </w:rPr>
        <w:footnoteRef/>
      </w:r>
      <w:r>
        <w:t xml:space="preserve"> </w:t>
      </w:r>
      <w:r w:rsidRPr="00773D36">
        <w:rPr>
          <w:sz w:val="16"/>
          <w:szCs w:val="16"/>
        </w:rPr>
        <w:t>WHO, 10 April 2013</w:t>
      </w:r>
    </w:p>
  </w:footnote>
  <w:footnote w:id="22">
    <w:p w:rsidR="00A12D55" w:rsidRPr="00B04B5B" w:rsidRDefault="00A12D55" w:rsidP="000A1895">
      <w:pPr>
        <w:spacing w:after="0" w:line="240" w:lineRule="auto"/>
        <w:rPr>
          <w:rFonts w:cs="Times New Roman"/>
          <w:sz w:val="16"/>
          <w:szCs w:val="16"/>
        </w:rPr>
      </w:pPr>
      <w:r w:rsidRPr="00B04B5B">
        <w:rPr>
          <w:rStyle w:val="FootnoteReference"/>
          <w:sz w:val="16"/>
          <w:szCs w:val="16"/>
        </w:rPr>
        <w:footnoteRef/>
      </w:r>
      <w:r w:rsidRPr="00B04B5B">
        <w:rPr>
          <w:sz w:val="16"/>
          <w:szCs w:val="16"/>
        </w:rPr>
        <w:t xml:space="preserve">  </w:t>
      </w:r>
      <w:r w:rsidRPr="00B04B5B">
        <w:rPr>
          <w:rFonts w:cs="Times New Roman"/>
          <w:sz w:val="16"/>
          <w:szCs w:val="16"/>
        </w:rPr>
        <w:t xml:space="preserve">Assessment Working Group for North Syria, </w:t>
      </w:r>
      <w:r w:rsidRPr="00B04B5B">
        <w:rPr>
          <w:rFonts w:cs="Times New Roman"/>
          <w:i/>
          <w:iCs/>
          <w:sz w:val="16"/>
          <w:szCs w:val="16"/>
        </w:rPr>
        <w:t>Joint Rapid Needs Assessment of Syria II Final Report</w:t>
      </w:r>
      <w:r w:rsidRPr="00B04B5B">
        <w:rPr>
          <w:rFonts w:cs="Times New Roman"/>
          <w:sz w:val="16"/>
          <w:szCs w:val="16"/>
        </w:rPr>
        <w:t>, 22 May 2013</w:t>
      </w:r>
    </w:p>
  </w:footnote>
  <w:footnote w:id="23">
    <w:p w:rsidR="00A12D55" w:rsidRPr="0016387D" w:rsidRDefault="00A12D55">
      <w:pPr>
        <w:pStyle w:val="FootnoteText"/>
        <w:rPr>
          <w:i/>
          <w:iCs/>
        </w:rPr>
      </w:pPr>
      <w:r w:rsidRPr="0016387D">
        <w:rPr>
          <w:rStyle w:val="FootnoteReference"/>
          <w:sz w:val="16"/>
          <w:szCs w:val="16"/>
        </w:rPr>
        <w:footnoteRef/>
      </w:r>
      <w:r w:rsidRPr="0016387D">
        <w:rPr>
          <w:sz w:val="16"/>
          <w:szCs w:val="16"/>
        </w:rPr>
        <w:t xml:space="preserve"> UNOHCHR</w:t>
      </w:r>
      <w:r>
        <w:rPr>
          <w:sz w:val="16"/>
          <w:szCs w:val="16"/>
        </w:rPr>
        <w:t xml:space="preserve">, </w:t>
      </w:r>
      <w:r>
        <w:rPr>
          <w:i/>
          <w:iCs/>
          <w:sz w:val="16"/>
          <w:szCs w:val="16"/>
        </w:rPr>
        <w:t>News Release: Updated UN study indicates at least 93,000 people killed in Syria conflict, 13 June 2013</w:t>
      </w:r>
    </w:p>
  </w:footnote>
  <w:footnote w:id="24">
    <w:p w:rsidR="00A12D55" w:rsidRPr="0016387D" w:rsidRDefault="00A12D55">
      <w:pPr>
        <w:pStyle w:val="FootnoteText"/>
        <w:rPr>
          <w:i/>
          <w:iCs/>
          <w:sz w:val="16"/>
          <w:szCs w:val="16"/>
        </w:rPr>
      </w:pPr>
      <w:r w:rsidRPr="0016387D">
        <w:rPr>
          <w:rStyle w:val="FootnoteReference"/>
          <w:i/>
          <w:iCs/>
          <w:sz w:val="16"/>
          <w:szCs w:val="16"/>
        </w:rPr>
        <w:footnoteRef/>
      </w:r>
      <w:r w:rsidRPr="0016387D">
        <w:rPr>
          <w:i/>
          <w:iCs/>
          <w:sz w:val="16"/>
          <w:szCs w:val="16"/>
        </w:rPr>
        <w:t xml:space="preserve"> Ibid</w:t>
      </w:r>
    </w:p>
  </w:footnote>
  <w:footnote w:id="25">
    <w:p w:rsidR="00A12D55" w:rsidRPr="00653E5F" w:rsidRDefault="00A12D55">
      <w:pPr>
        <w:pStyle w:val="FootnoteText"/>
      </w:pPr>
      <w:r w:rsidRPr="0016387D">
        <w:rPr>
          <w:rStyle w:val="FootnoteReference"/>
          <w:i/>
          <w:iCs/>
          <w:sz w:val="16"/>
          <w:szCs w:val="16"/>
        </w:rPr>
        <w:footnoteRef/>
      </w:r>
      <w:r w:rsidRPr="0016387D">
        <w:rPr>
          <w:i/>
          <w:iCs/>
          <w:sz w:val="16"/>
          <w:szCs w:val="16"/>
        </w:rPr>
        <w:t xml:space="preserve"> Ibid</w:t>
      </w:r>
    </w:p>
  </w:footnote>
  <w:footnote w:id="26">
    <w:p w:rsidR="00A12D55" w:rsidRPr="00B04B5B" w:rsidRDefault="00A12D55" w:rsidP="000A1895">
      <w:pPr>
        <w:pStyle w:val="FootnoteText"/>
        <w:rPr>
          <w:sz w:val="16"/>
          <w:szCs w:val="16"/>
          <w:lang w:val="en-US"/>
        </w:rPr>
      </w:pPr>
      <w:r w:rsidRPr="00B04B5B">
        <w:rPr>
          <w:rStyle w:val="FootnoteReference"/>
          <w:sz w:val="16"/>
          <w:szCs w:val="16"/>
        </w:rPr>
        <w:footnoteRef/>
      </w:r>
      <w:r w:rsidRPr="00B04B5B">
        <w:rPr>
          <w:sz w:val="16"/>
          <w:szCs w:val="16"/>
        </w:rPr>
        <w:t xml:space="preserve"> Human Rights Council, 22</w:t>
      </w:r>
      <w:r w:rsidRPr="00B04B5B">
        <w:rPr>
          <w:sz w:val="16"/>
          <w:szCs w:val="16"/>
          <w:vertAlign w:val="superscript"/>
        </w:rPr>
        <w:t>nd</w:t>
      </w:r>
      <w:r w:rsidRPr="00B04B5B">
        <w:rPr>
          <w:sz w:val="16"/>
          <w:szCs w:val="16"/>
        </w:rPr>
        <w:t xml:space="preserve"> Session, Oral Update of the Independent International Commission of Inquiry on the Syrian Arab Republic, March 2013 in </w:t>
      </w:r>
      <w:r w:rsidRPr="00B04B5B">
        <w:rPr>
          <w:i/>
          <w:sz w:val="16"/>
          <w:szCs w:val="16"/>
          <w:lang w:val="en-US"/>
        </w:rPr>
        <w:t xml:space="preserve">OCHA, Syria Humanitarian Needs Overview, </w:t>
      </w:r>
      <w:r w:rsidRPr="00B04B5B">
        <w:rPr>
          <w:iCs/>
          <w:sz w:val="16"/>
          <w:szCs w:val="16"/>
          <w:lang w:val="en-US"/>
        </w:rPr>
        <w:t>26 April 2013</w:t>
      </w:r>
    </w:p>
  </w:footnote>
  <w:footnote w:id="27">
    <w:p w:rsidR="00A12D55" w:rsidRPr="00B04B5B" w:rsidRDefault="00A12D55" w:rsidP="0013582B">
      <w:pPr>
        <w:autoSpaceDE w:val="0"/>
        <w:autoSpaceDN w:val="0"/>
        <w:adjustRightInd w:val="0"/>
        <w:spacing w:after="0" w:line="240" w:lineRule="auto"/>
        <w:rPr>
          <w:rFonts w:cs="TimesNewRomanPS-BoldMT"/>
          <w:i/>
          <w:iCs/>
          <w:sz w:val="16"/>
          <w:szCs w:val="16"/>
          <w:lang w:val="en-US"/>
        </w:rPr>
      </w:pPr>
      <w:r w:rsidRPr="00B04B5B">
        <w:rPr>
          <w:rStyle w:val="FootnoteReference"/>
          <w:i/>
          <w:iCs/>
          <w:sz w:val="16"/>
          <w:szCs w:val="16"/>
        </w:rPr>
        <w:footnoteRef/>
      </w:r>
      <w:r w:rsidRPr="00B04B5B">
        <w:rPr>
          <w:i/>
          <w:iCs/>
          <w:sz w:val="16"/>
          <w:szCs w:val="16"/>
        </w:rPr>
        <w:t xml:space="preserve"> </w:t>
      </w:r>
      <w:r w:rsidRPr="00B04B5B">
        <w:rPr>
          <w:rFonts w:cs="TimesNewRomanPS-BoldMT"/>
          <w:sz w:val="16"/>
          <w:szCs w:val="16"/>
          <w:lang w:val="en-US"/>
        </w:rPr>
        <w:t>Human Rights Council, 23</w:t>
      </w:r>
      <w:r w:rsidRPr="00B04B5B">
        <w:rPr>
          <w:rFonts w:cs="TimesNewRomanPS-BoldMT"/>
          <w:sz w:val="16"/>
          <w:szCs w:val="16"/>
          <w:vertAlign w:val="superscript"/>
          <w:lang w:val="en-US"/>
        </w:rPr>
        <w:t>rd</w:t>
      </w:r>
      <w:r w:rsidRPr="00B04B5B">
        <w:rPr>
          <w:rFonts w:cs="TimesNewRomanPS-BoldMT"/>
          <w:sz w:val="16"/>
          <w:szCs w:val="16"/>
          <w:lang w:val="en-US"/>
        </w:rPr>
        <w:t xml:space="preserve"> Session, </w:t>
      </w:r>
      <w:r w:rsidRPr="00B04B5B">
        <w:rPr>
          <w:rFonts w:cs="TimesNewRomanPS-BoldMT"/>
          <w:i/>
          <w:iCs/>
          <w:sz w:val="16"/>
          <w:szCs w:val="16"/>
          <w:lang w:val="en-US"/>
        </w:rPr>
        <w:t>Report of the Independent International Commission of Inquiry on the Syrian Arab Republic</w:t>
      </w:r>
      <w:r w:rsidRPr="00B04B5B">
        <w:rPr>
          <w:rFonts w:cs="TimesNewRomanPS-BoldMT"/>
          <w:sz w:val="16"/>
          <w:szCs w:val="16"/>
          <w:lang w:val="en-US"/>
        </w:rPr>
        <w:t>, June 2013</w:t>
      </w:r>
    </w:p>
  </w:footnote>
  <w:footnote w:id="28">
    <w:p w:rsidR="00A12D55" w:rsidRPr="00B04B5B" w:rsidRDefault="00A12D55" w:rsidP="00A046B4">
      <w:pPr>
        <w:pStyle w:val="FootnoteText"/>
        <w:rPr>
          <w:i/>
          <w:iCs/>
          <w:sz w:val="16"/>
          <w:szCs w:val="16"/>
        </w:rPr>
      </w:pPr>
      <w:r w:rsidRPr="00B04B5B">
        <w:rPr>
          <w:rStyle w:val="FootnoteReference"/>
          <w:i/>
          <w:iCs/>
          <w:sz w:val="16"/>
          <w:szCs w:val="16"/>
        </w:rPr>
        <w:footnoteRef/>
      </w:r>
      <w:r w:rsidRPr="00B04B5B">
        <w:rPr>
          <w:i/>
          <w:iCs/>
          <w:sz w:val="16"/>
          <w:szCs w:val="16"/>
        </w:rPr>
        <w:t xml:space="preserve"> </w:t>
      </w:r>
      <w:r w:rsidRPr="00B04B5B">
        <w:rPr>
          <w:sz w:val="16"/>
          <w:szCs w:val="16"/>
        </w:rPr>
        <w:t>Human Rights Watch,</w:t>
      </w:r>
      <w:r w:rsidRPr="00B04B5B">
        <w:rPr>
          <w:i/>
          <w:iCs/>
          <w:sz w:val="16"/>
          <w:szCs w:val="16"/>
        </w:rPr>
        <w:t xml:space="preserve"> </w:t>
      </w:r>
      <w:r w:rsidRPr="00B04B5B">
        <w:rPr>
          <w:rFonts w:eastAsia="Times New Roman" w:cs="Lucida Grande"/>
          <w:i/>
          <w:iCs/>
          <w:color w:val="42210B"/>
          <w:sz w:val="16"/>
          <w:szCs w:val="16"/>
          <w:lang w:val="en"/>
        </w:rPr>
        <w:t xml:space="preserve">Syria: </w:t>
      </w:r>
      <w:hyperlink r:id="rId1" w:tooltip="Syria: Mounting Casualties from Cluster Munitions" w:history="1">
        <w:r w:rsidRPr="00B04B5B">
          <w:rPr>
            <w:rFonts w:eastAsia="Times New Roman" w:cs="Lucida Grande"/>
            <w:i/>
            <w:iCs/>
            <w:color w:val="42210B"/>
            <w:sz w:val="16"/>
            <w:szCs w:val="16"/>
            <w:lang w:val="en"/>
          </w:rPr>
          <w:t>Mounting Casualties from Cluster Munitions</w:t>
        </w:r>
      </w:hyperlink>
      <w:r w:rsidRPr="00B04B5B">
        <w:rPr>
          <w:rFonts w:eastAsia="Times New Roman" w:cs="Lucida Grande"/>
          <w:i/>
          <w:iCs/>
          <w:color w:val="42210B"/>
          <w:sz w:val="16"/>
          <w:szCs w:val="16"/>
          <w:lang w:val="en"/>
        </w:rPr>
        <w:t>,</w:t>
      </w:r>
      <w:r w:rsidRPr="00B04B5B">
        <w:rPr>
          <w:i/>
          <w:iCs/>
          <w:sz w:val="16"/>
          <w:szCs w:val="16"/>
          <w:lang w:val="en"/>
        </w:rPr>
        <w:t xml:space="preserve"> </w:t>
      </w:r>
      <w:r w:rsidRPr="00B04B5B">
        <w:rPr>
          <w:sz w:val="16"/>
          <w:szCs w:val="16"/>
        </w:rPr>
        <w:t>16 March 2013</w:t>
      </w:r>
    </w:p>
  </w:footnote>
  <w:footnote w:id="29">
    <w:p w:rsidR="00A12D55" w:rsidRPr="00B04B5B" w:rsidRDefault="00A12D55" w:rsidP="0013582B">
      <w:pPr>
        <w:pStyle w:val="FootnoteText"/>
        <w:rPr>
          <w:i/>
          <w:iCs/>
          <w:sz w:val="16"/>
          <w:szCs w:val="16"/>
        </w:rPr>
      </w:pPr>
      <w:r w:rsidRPr="00B04B5B">
        <w:rPr>
          <w:rStyle w:val="FootnoteReference"/>
          <w:i/>
          <w:iCs/>
          <w:sz w:val="16"/>
          <w:szCs w:val="16"/>
        </w:rPr>
        <w:footnoteRef/>
      </w:r>
      <w:r w:rsidRPr="00B04B5B">
        <w:rPr>
          <w:i/>
          <w:iCs/>
          <w:sz w:val="16"/>
          <w:szCs w:val="16"/>
        </w:rPr>
        <w:t xml:space="preserve"> </w:t>
      </w:r>
      <w:r w:rsidRPr="00B04B5B">
        <w:rPr>
          <w:sz w:val="16"/>
          <w:szCs w:val="16"/>
        </w:rPr>
        <w:t>Human Rights Watch</w:t>
      </w:r>
      <w:r w:rsidRPr="00B04B5B">
        <w:rPr>
          <w:i/>
          <w:iCs/>
          <w:sz w:val="16"/>
          <w:szCs w:val="16"/>
        </w:rPr>
        <w:t xml:space="preserve">, Syria: New Air, Missile Strikes Kill Civilian, </w:t>
      </w:r>
      <w:r w:rsidRPr="00B04B5B">
        <w:rPr>
          <w:sz w:val="16"/>
          <w:szCs w:val="16"/>
        </w:rPr>
        <w:t>26 April 2013</w:t>
      </w:r>
    </w:p>
  </w:footnote>
  <w:footnote w:id="30">
    <w:p w:rsidR="00A12D55" w:rsidRPr="00B04B5B" w:rsidRDefault="00A12D55" w:rsidP="00A5097E">
      <w:pPr>
        <w:spacing w:after="0" w:line="240" w:lineRule="auto"/>
        <w:jc w:val="both"/>
        <w:rPr>
          <w:rFonts w:cs="Arial"/>
          <w:i/>
          <w:iCs/>
          <w:color w:val="0070C0"/>
          <w:sz w:val="16"/>
          <w:szCs w:val="16"/>
        </w:rPr>
      </w:pPr>
      <w:r w:rsidRPr="00B04B5B">
        <w:rPr>
          <w:rStyle w:val="FootnoteReference"/>
          <w:rFonts w:cs="Arial"/>
          <w:i/>
          <w:iCs/>
          <w:sz w:val="16"/>
          <w:szCs w:val="16"/>
        </w:rPr>
        <w:footnoteRef/>
      </w:r>
      <w:r w:rsidRPr="00B04B5B">
        <w:rPr>
          <w:rFonts w:cs="Arial"/>
          <w:i/>
          <w:iCs/>
          <w:sz w:val="16"/>
          <w:szCs w:val="16"/>
        </w:rPr>
        <w:t xml:space="preserve"> </w:t>
      </w:r>
      <w:r w:rsidRPr="00B04B5B">
        <w:rPr>
          <w:rFonts w:cs="Arial"/>
          <w:sz w:val="16"/>
          <w:szCs w:val="16"/>
        </w:rPr>
        <w:t>ACAPS,</w:t>
      </w:r>
      <w:r w:rsidRPr="00B04B5B">
        <w:rPr>
          <w:rFonts w:cs="Arial"/>
          <w:i/>
          <w:iCs/>
          <w:sz w:val="16"/>
          <w:szCs w:val="16"/>
        </w:rPr>
        <w:t xml:space="preserve"> Disaster Needs Analysis – Update Syria Conflict, </w:t>
      </w:r>
      <w:r w:rsidRPr="00B04B5B">
        <w:rPr>
          <w:rFonts w:cs="Arial"/>
          <w:sz w:val="16"/>
          <w:szCs w:val="16"/>
        </w:rPr>
        <w:t>21/06/2012</w:t>
      </w:r>
    </w:p>
  </w:footnote>
  <w:footnote w:id="31">
    <w:p w:rsidR="00A12D55" w:rsidRPr="00B04B5B" w:rsidRDefault="00A12D55" w:rsidP="00A046B4">
      <w:pPr>
        <w:pStyle w:val="FootnoteText"/>
        <w:rPr>
          <w:sz w:val="16"/>
          <w:szCs w:val="16"/>
        </w:rPr>
      </w:pPr>
      <w:r w:rsidRPr="00B04B5B">
        <w:rPr>
          <w:rStyle w:val="FootnoteReference"/>
          <w:i/>
          <w:iCs/>
          <w:sz w:val="16"/>
          <w:szCs w:val="16"/>
        </w:rPr>
        <w:footnoteRef/>
      </w:r>
      <w:r w:rsidRPr="00B04B5B">
        <w:rPr>
          <w:i/>
          <w:iCs/>
          <w:sz w:val="16"/>
          <w:szCs w:val="16"/>
        </w:rPr>
        <w:t xml:space="preserve"> </w:t>
      </w:r>
      <w:r w:rsidRPr="00B04B5B">
        <w:rPr>
          <w:rFonts w:cs="Times New Roman"/>
          <w:sz w:val="16"/>
          <w:szCs w:val="16"/>
        </w:rPr>
        <w:t xml:space="preserve">Assessment Working Group for North Syria, </w:t>
      </w:r>
      <w:r w:rsidRPr="00B04B5B">
        <w:rPr>
          <w:rFonts w:cs="Times New Roman"/>
          <w:i/>
          <w:iCs/>
          <w:sz w:val="16"/>
          <w:szCs w:val="16"/>
        </w:rPr>
        <w:t>Joint Rapid Needs Assessment of Syria II Final Report</w:t>
      </w:r>
      <w:r w:rsidRPr="00B04B5B">
        <w:rPr>
          <w:rFonts w:cs="Times New Roman"/>
          <w:sz w:val="16"/>
          <w:szCs w:val="16"/>
        </w:rPr>
        <w:t>, 22 May 2013</w:t>
      </w:r>
    </w:p>
  </w:footnote>
  <w:footnote w:id="32">
    <w:p w:rsidR="00A12D55" w:rsidRPr="00B04B5B" w:rsidRDefault="00A12D55">
      <w:pPr>
        <w:pStyle w:val="FootnoteText"/>
        <w:rPr>
          <w:sz w:val="16"/>
          <w:szCs w:val="16"/>
        </w:rPr>
      </w:pPr>
      <w:r w:rsidRPr="00B04B5B">
        <w:rPr>
          <w:rStyle w:val="FootnoteReference"/>
          <w:i/>
          <w:iCs/>
          <w:sz w:val="16"/>
          <w:szCs w:val="16"/>
        </w:rPr>
        <w:footnoteRef/>
      </w:r>
      <w:r w:rsidRPr="00B04B5B">
        <w:rPr>
          <w:i/>
          <w:iCs/>
          <w:sz w:val="16"/>
          <w:szCs w:val="16"/>
        </w:rPr>
        <w:t xml:space="preserve"> </w:t>
      </w:r>
      <w:r w:rsidRPr="00B04B5B">
        <w:rPr>
          <w:sz w:val="16"/>
          <w:szCs w:val="16"/>
        </w:rPr>
        <w:t>UNMAS,</w:t>
      </w:r>
      <w:r w:rsidRPr="00B04B5B">
        <w:rPr>
          <w:i/>
          <w:iCs/>
          <w:sz w:val="16"/>
          <w:szCs w:val="16"/>
        </w:rPr>
        <w:t xml:space="preserve"> Syria Appeal, </w:t>
      </w:r>
      <w:r w:rsidRPr="00B04B5B">
        <w:rPr>
          <w:sz w:val="16"/>
          <w:szCs w:val="16"/>
        </w:rPr>
        <w:t>2 January 2013</w:t>
      </w:r>
    </w:p>
  </w:footnote>
  <w:footnote w:id="33">
    <w:p w:rsidR="00A12D55" w:rsidRPr="002524BB" w:rsidRDefault="00A12D55">
      <w:pPr>
        <w:pStyle w:val="FootnoteText"/>
      </w:pPr>
      <w:r w:rsidRPr="0016387D">
        <w:rPr>
          <w:rStyle w:val="FootnoteReference"/>
          <w:sz w:val="16"/>
          <w:szCs w:val="16"/>
        </w:rPr>
        <w:footnoteRef/>
      </w:r>
      <w:r w:rsidRPr="0016387D">
        <w:rPr>
          <w:sz w:val="16"/>
          <w:szCs w:val="16"/>
        </w:rPr>
        <w:t xml:space="preserve"> UN</w:t>
      </w:r>
      <w:r>
        <w:rPr>
          <w:sz w:val="16"/>
          <w:szCs w:val="16"/>
        </w:rPr>
        <w:t xml:space="preserve"> General Assembly Security Council</w:t>
      </w:r>
      <w:r w:rsidRPr="0016387D">
        <w:rPr>
          <w:sz w:val="16"/>
          <w:szCs w:val="16"/>
        </w:rPr>
        <w:t xml:space="preserve">, </w:t>
      </w:r>
      <w:r>
        <w:rPr>
          <w:sz w:val="16"/>
          <w:szCs w:val="16"/>
        </w:rPr>
        <w:t>67</w:t>
      </w:r>
      <w:r w:rsidRPr="0016387D">
        <w:rPr>
          <w:sz w:val="16"/>
          <w:szCs w:val="16"/>
          <w:vertAlign w:val="superscript"/>
        </w:rPr>
        <w:t>th</w:t>
      </w:r>
      <w:r>
        <w:rPr>
          <w:sz w:val="16"/>
          <w:szCs w:val="16"/>
        </w:rPr>
        <w:t xml:space="preserve"> Session, Children and Armed Conflict, Report of the Secretary General, 15 May 2013</w:t>
      </w:r>
    </w:p>
  </w:footnote>
  <w:footnote w:id="34">
    <w:p w:rsidR="00A12D55" w:rsidRPr="004845B1" w:rsidRDefault="00A12D55" w:rsidP="004845B1">
      <w:pPr>
        <w:pStyle w:val="FootnoteText"/>
        <w:rPr>
          <w:sz w:val="16"/>
          <w:szCs w:val="16"/>
          <w:highlight w:val="yellow"/>
        </w:rPr>
      </w:pPr>
      <w:r w:rsidRPr="004845B1">
        <w:rPr>
          <w:rStyle w:val="FootnoteReference"/>
          <w:i/>
          <w:iCs/>
          <w:sz w:val="16"/>
          <w:szCs w:val="16"/>
        </w:rPr>
        <w:footnoteRef/>
      </w:r>
      <w:r>
        <w:rPr>
          <w:i/>
          <w:iCs/>
          <w:sz w:val="16"/>
          <w:szCs w:val="16"/>
        </w:rPr>
        <w:t xml:space="preserve"> </w:t>
      </w:r>
      <w:r>
        <w:rPr>
          <w:sz w:val="16"/>
          <w:szCs w:val="16"/>
        </w:rPr>
        <w:t xml:space="preserve">Global Protection Cluster: Child Protection, </w:t>
      </w:r>
      <w:r w:rsidRPr="004845B1">
        <w:rPr>
          <w:i/>
          <w:iCs/>
          <w:sz w:val="16"/>
          <w:szCs w:val="16"/>
        </w:rPr>
        <w:t>Urgent! Child Protection in Syria</w:t>
      </w:r>
      <w:r>
        <w:rPr>
          <w:sz w:val="16"/>
          <w:szCs w:val="16"/>
        </w:rPr>
        <w:t>, 2013</w:t>
      </w:r>
    </w:p>
  </w:footnote>
  <w:footnote w:id="35">
    <w:p w:rsidR="00A12D55" w:rsidRPr="00B04B5B" w:rsidRDefault="00A12D55" w:rsidP="00D87BC5">
      <w:pPr>
        <w:pStyle w:val="FootnoteText"/>
        <w:rPr>
          <w:sz w:val="24"/>
          <w:szCs w:val="24"/>
        </w:rPr>
      </w:pPr>
      <w:r w:rsidRPr="00B04B5B">
        <w:rPr>
          <w:rStyle w:val="FootnoteReference"/>
          <w:i/>
          <w:iCs/>
          <w:sz w:val="16"/>
          <w:szCs w:val="16"/>
        </w:rPr>
        <w:footnoteRef/>
      </w:r>
      <w:r w:rsidRPr="00B04B5B">
        <w:rPr>
          <w:i/>
          <w:iCs/>
          <w:sz w:val="16"/>
          <w:szCs w:val="16"/>
        </w:rPr>
        <w:t xml:space="preserve"> </w:t>
      </w:r>
      <w:r w:rsidRPr="00B04B5B">
        <w:rPr>
          <w:sz w:val="16"/>
          <w:szCs w:val="16"/>
        </w:rPr>
        <w:t>UNWRA</w:t>
      </w:r>
      <w:r w:rsidRPr="00B04B5B">
        <w:rPr>
          <w:i/>
          <w:iCs/>
          <w:sz w:val="16"/>
          <w:szCs w:val="16"/>
        </w:rPr>
        <w:t xml:space="preserve">, UNRAW  condemns attack on </w:t>
      </w:r>
      <w:proofErr w:type="spellStart"/>
      <w:r w:rsidRPr="00B04B5B">
        <w:rPr>
          <w:i/>
          <w:iCs/>
          <w:sz w:val="16"/>
          <w:szCs w:val="16"/>
        </w:rPr>
        <w:t>Sbeineh</w:t>
      </w:r>
      <w:proofErr w:type="spellEnd"/>
      <w:r w:rsidRPr="00B04B5B">
        <w:rPr>
          <w:i/>
          <w:iCs/>
          <w:sz w:val="16"/>
          <w:szCs w:val="16"/>
        </w:rPr>
        <w:t xml:space="preserve"> Palestine refugee camp in Syria, </w:t>
      </w:r>
      <w:r w:rsidRPr="00B04B5B">
        <w:rPr>
          <w:sz w:val="16"/>
          <w:szCs w:val="16"/>
        </w:rPr>
        <w:t>30 May 2013</w:t>
      </w:r>
    </w:p>
  </w:footnote>
  <w:footnote w:id="36">
    <w:p w:rsidR="00A12D55" w:rsidRPr="00B04B5B" w:rsidRDefault="00A12D55" w:rsidP="006B64B1">
      <w:pPr>
        <w:spacing w:after="0" w:line="240" w:lineRule="auto"/>
        <w:jc w:val="both"/>
        <w:rPr>
          <w:rFonts w:cs="Arial"/>
          <w:b/>
          <w:i/>
          <w:iCs/>
          <w:sz w:val="24"/>
          <w:szCs w:val="24"/>
        </w:rPr>
      </w:pPr>
      <w:r w:rsidRPr="00B04B5B">
        <w:rPr>
          <w:rStyle w:val="FootnoteReference"/>
          <w:rFonts w:cs="Arial"/>
          <w:sz w:val="16"/>
          <w:szCs w:val="16"/>
        </w:rPr>
        <w:footnoteRef/>
      </w:r>
      <w:r w:rsidRPr="00B04B5B">
        <w:rPr>
          <w:rFonts w:cs="Arial"/>
          <w:sz w:val="16"/>
          <w:szCs w:val="16"/>
        </w:rPr>
        <w:t xml:space="preserve"> </w:t>
      </w:r>
      <w:r w:rsidRPr="00B04B5B">
        <w:rPr>
          <w:rFonts w:cs="Arial"/>
          <w:sz w:val="16"/>
          <w:szCs w:val="16"/>
          <w:lang w:val="en-US"/>
        </w:rPr>
        <w:t xml:space="preserve">World Health </w:t>
      </w:r>
      <w:r w:rsidRPr="00B04B5B">
        <w:rPr>
          <w:rFonts w:cs="Arial"/>
          <w:sz w:val="16"/>
          <w:szCs w:val="16"/>
        </w:rPr>
        <w:t>Organisation</w:t>
      </w:r>
      <w:r w:rsidRPr="00B04B5B">
        <w:rPr>
          <w:rFonts w:cs="Arial"/>
          <w:sz w:val="16"/>
          <w:szCs w:val="16"/>
          <w:lang w:val="en-US"/>
        </w:rPr>
        <w:t>,</w:t>
      </w:r>
      <w:r w:rsidRPr="00B04B5B">
        <w:rPr>
          <w:rFonts w:cs="Arial"/>
          <w:i/>
          <w:iCs/>
          <w:sz w:val="16"/>
          <w:szCs w:val="16"/>
          <w:lang w:val="en-US"/>
        </w:rPr>
        <w:t xml:space="preserve"> Syrian Arab Republic, Jordan, Lebanon and Iraq Situation Report, Issue 8;</w:t>
      </w:r>
      <w:r w:rsidRPr="00B04B5B">
        <w:rPr>
          <w:rFonts w:cs="Arial"/>
          <w:sz w:val="16"/>
          <w:szCs w:val="16"/>
          <w:lang w:val="en-US"/>
        </w:rPr>
        <w:t xml:space="preserve"> 2 January 2013</w:t>
      </w:r>
    </w:p>
  </w:footnote>
  <w:footnote w:id="37">
    <w:p w:rsidR="00A12D55" w:rsidRPr="00AA1D0D" w:rsidRDefault="00A12D55" w:rsidP="00AA1D0D">
      <w:pPr>
        <w:autoSpaceDE w:val="0"/>
        <w:autoSpaceDN w:val="0"/>
        <w:adjustRightInd w:val="0"/>
        <w:spacing w:after="0" w:line="240" w:lineRule="auto"/>
        <w:rPr>
          <w:rFonts w:cs="TimesNewRomanPS-BoldMT"/>
          <w:i/>
          <w:iCs/>
          <w:sz w:val="16"/>
          <w:szCs w:val="16"/>
          <w:lang w:val="en-US"/>
        </w:rPr>
      </w:pPr>
      <w:r w:rsidRPr="00B04B5B">
        <w:rPr>
          <w:rStyle w:val="FootnoteReference"/>
          <w:sz w:val="16"/>
          <w:szCs w:val="16"/>
        </w:rPr>
        <w:footnoteRef/>
      </w:r>
      <w:r w:rsidRPr="00B04B5B">
        <w:rPr>
          <w:sz w:val="16"/>
          <w:szCs w:val="16"/>
        </w:rPr>
        <w:t xml:space="preserve"> </w:t>
      </w:r>
      <w:r w:rsidRPr="00B04B5B">
        <w:rPr>
          <w:rFonts w:cs="TimesNewRomanPS-BoldMT"/>
          <w:sz w:val="16"/>
          <w:szCs w:val="16"/>
          <w:lang w:val="en-US"/>
        </w:rPr>
        <w:t>Human Rights Council, 23</w:t>
      </w:r>
      <w:r w:rsidRPr="00B04B5B">
        <w:rPr>
          <w:rFonts w:cs="TimesNewRomanPS-BoldMT"/>
          <w:sz w:val="16"/>
          <w:szCs w:val="16"/>
          <w:vertAlign w:val="superscript"/>
          <w:lang w:val="en-US"/>
        </w:rPr>
        <w:t>rd</w:t>
      </w:r>
      <w:r w:rsidRPr="00B04B5B">
        <w:rPr>
          <w:rFonts w:cs="TimesNewRomanPS-BoldMT"/>
          <w:sz w:val="16"/>
          <w:szCs w:val="16"/>
          <w:lang w:val="en-US"/>
        </w:rPr>
        <w:t xml:space="preserve"> Session </w:t>
      </w:r>
      <w:r w:rsidRPr="00B04B5B">
        <w:rPr>
          <w:rFonts w:cs="TimesNewRomanPS-BoldMT"/>
          <w:i/>
          <w:iCs/>
          <w:sz w:val="16"/>
          <w:szCs w:val="16"/>
          <w:lang w:val="en-US"/>
        </w:rPr>
        <w:t>Report of the Independent International Commission of Inquiry on the Syrian Arab Republic</w:t>
      </w:r>
      <w:r w:rsidRPr="00B04B5B">
        <w:rPr>
          <w:rFonts w:cs="TimesNewRomanPS-BoldMT"/>
          <w:sz w:val="16"/>
          <w:szCs w:val="16"/>
          <w:lang w:val="en-US"/>
        </w:rPr>
        <w:t>, June 2013</w:t>
      </w:r>
    </w:p>
  </w:footnote>
  <w:footnote w:id="38">
    <w:p w:rsidR="00A12D55" w:rsidRPr="006B64B1" w:rsidRDefault="00A12D55" w:rsidP="00B04B5B">
      <w:pPr>
        <w:pStyle w:val="FootnoteText"/>
        <w:rPr>
          <w:i/>
          <w:sz w:val="16"/>
          <w:szCs w:val="16"/>
        </w:rPr>
      </w:pPr>
      <w:r w:rsidRPr="006B64B1">
        <w:rPr>
          <w:rStyle w:val="FootnoteReference"/>
          <w:i/>
          <w:sz w:val="16"/>
          <w:szCs w:val="16"/>
        </w:rPr>
        <w:footnoteRef/>
      </w:r>
      <w:r w:rsidRPr="006B64B1">
        <w:rPr>
          <w:i/>
          <w:sz w:val="16"/>
          <w:szCs w:val="16"/>
        </w:rPr>
        <w:t xml:space="preserve"> </w:t>
      </w:r>
      <w:r w:rsidRPr="00B04B5B">
        <w:rPr>
          <w:sz w:val="16"/>
          <w:szCs w:val="16"/>
        </w:rPr>
        <w:t xml:space="preserve">Human Rights Watch, </w:t>
      </w:r>
      <w:r w:rsidRPr="00B04B5B">
        <w:rPr>
          <w:rFonts w:cs="Arial"/>
          <w:bCs/>
          <w:i/>
          <w:sz w:val="16"/>
          <w:szCs w:val="16"/>
        </w:rPr>
        <w:t xml:space="preserve">Syria’s River of Death, </w:t>
      </w:r>
      <w:r w:rsidRPr="00B04B5B">
        <w:rPr>
          <w:rFonts w:cs="Arial"/>
          <w:bCs/>
          <w:iCs/>
          <w:sz w:val="16"/>
          <w:szCs w:val="16"/>
        </w:rPr>
        <w:t>30 April 2013</w:t>
      </w:r>
    </w:p>
  </w:footnote>
  <w:footnote w:id="39">
    <w:p w:rsidR="00A12D55" w:rsidRPr="006B64B1" w:rsidRDefault="00A12D55" w:rsidP="00B04B5B">
      <w:pPr>
        <w:autoSpaceDE w:val="0"/>
        <w:autoSpaceDN w:val="0"/>
        <w:adjustRightInd w:val="0"/>
        <w:spacing w:after="0" w:line="240" w:lineRule="auto"/>
        <w:rPr>
          <w:rFonts w:cs="TimesNewRomanPS-BoldMT"/>
          <w:i/>
          <w:iCs/>
          <w:sz w:val="16"/>
          <w:szCs w:val="16"/>
          <w:lang w:val="en-US"/>
        </w:rPr>
      </w:pPr>
      <w:r w:rsidRPr="006B64B1">
        <w:rPr>
          <w:rStyle w:val="FootnoteReference"/>
          <w:i/>
          <w:sz w:val="16"/>
          <w:szCs w:val="16"/>
        </w:rPr>
        <w:footnoteRef/>
      </w:r>
      <w:r w:rsidRPr="006B64B1">
        <w:rPr>
          <w:i/>
          <w:sz w:val="16"/>
          <w:szCs w:val="16"/>
        </w:rPr>
        <w:t xml:space="preserve"> </w:t>
      </w:r>
      <w:r w:rsidRPr="006B64B1">
        <w:rPr>
          <w:rFonts w:cs="TimesNewRomanPS-BoldMT"/>
          <w:sz w:val="16"/>
          <w:szCs w:val="16"/>
          <w:lang w:val="en-US"/>
        </w:rPr>
        <w:t xml:space="preserve">Human Rights Council, </w:t>
      </w:r>
      <w:r>
        <w:rPr>
          <w:rFonts w:cs="TimesNewRomanPS-BoldMT"/>
          <w:sz w:val="16"/>
          <w:szCs w:val="16"/>
          <w:lang w:val="en-US"/>
        </w:rPr>
        <w:t>23</w:t>
      </w:r>
      <w:r w:rsidRPr="00B04B5B">
        <w:rPr>
          <w:rFonts w:cs="TimesNewRomanPS-BoldMT"/>
          <w:sz w:val="16"/>
          <w:szCs w:val="16"/>
          <w:vertAlign w:val="superscript"/>
          <w:lang w:val="en-US"/>
        </w:rPr>
        <w:t>rd</w:t>
      </w:r>
      <w:r>
        <w:rPr>
          <w:rFonts w:cs="TimesNewRomanPS-BoldMT"/>
          <w:sz w:val="16"/>
          <w:szCs w:val="16"/>
          <w:lang w:val="en-US"/>
        </w:rPr>
        <w:t xml:space="preserve"> Session, </w:t>
      </w:r>
      <w:r w:rsidRPr="006B64B1">
        <w:rPr>
          <w:rFonts w:cs="TimesNewRomanPS-BoldMT"/>
          <w:i/>
          <w:iCs/>
          <w:sz w:val="16"/>
          <w:szCs w:val="16"/>
          <w:lang w:val="en-US"/>
        </w:rPr>
        <w:t>Report of the Independent International Commission of Inquiry on the Syrian Arab</w:t>
      </w:r>
    </w:p>
    <w:p w:rsidR="00A12D55" w:rsidRPr="006B64B1" w:rsidRDefault="00A12D55" w:rsidP="00B04B5B">
      <w:pPr>
        <w:spacing w:after="0" w:line="240" w:lineRule="auto"/>
        <w:rPr>
          <w:rFonts w:cs="Times New Roman"/>
          <w:sz w:val="16"/>
          <w:szCs w:val="16"/>
        </w:rPr>
      </w:pPr>
      <w:r w:rsidRPr="006B64B1">
        <w:rPr>
          <w:rFonts w:cs="TimesNewRomanPS-BoldMT"/>
          <w:i/>
          <w:iCs/>
          <w:sz w:val="16"/>
          <w:szCs w:val="16"/>
          <w:lang w:val="en-US"/>
        </w:rPr>
        <w:t>Republic</w:t>
      </w:r>
      <w:r w:rsidRPr="006B64B1">
        <w:rPr>
          <w:rFonts w:cs="TimesNewRomanPS-BoldMT"/>
          <w:sz w:val="16"/>
          <w:szCs w:val="16"/>
          <w:lang w:val="en-US"/>
        </w:rPr>
        <w:t>, June 2013</w:t>
      </w:r>
    </w:p>
  </w:footnote>
  <w:footnote w:id="40">
    <w:p w:rsidR="00A12D55" w:rsidRPr="006B64B1" w:rsidRDefault="00A12D55" w:rsidP="00B04B5B">
      <w:pPr>
        <w:pStyle w:val="FootnoteText"/>
        <w:rPr>
          <w:i/>
          <w:sz w:val="16"/>
          <w:szCs w:val="16"/>
        </w:rPr>
      </w:pPr>
      <w:r w:rsidRPr="006B64B1">
        <w:rPr>
          <w:rStyle w:val="FootnoteReference"/>
          <w:i/>
          <w:sz w:val="16"/>
          <w:szCs w:val="16"/>
        </w:rPr>
        <w:footnoteRef/>
      </w:r>
      <w:r w:rsidRPr="006B64B1">
        <w:rPr>
          <w:i/>
          <w:sz w:val="16"/>
          <w:szCs w:val="16"/>
        </w:rPr>
        <w:t xml:space="preserve"> Ibid</w:t>
      </w:r>
    </w:p>
  </w:footnote>
  <w:footnote w:id="41">
    <w:p w:rsidR="00A12D55" w:rsidRPr="006B64B1" w:rsidRDefault="00A12D55" w:rsidP="00B04B5B">
      <w:pPr>
        <w:tabs>
          <w:tab w:val="left" w:pos="0"/>
        </w:tabs>
        <w:spacing w:after="0" w:line="240" w:lineRule="auto"/>
        <w:contextualSpacing/>
        <w:jc w:val="both"/>
        <w:rPr>
          <w:rFonts w:cs="Arial"/>
          <w:bCs/>
          <w:i/>
          <w:color w:val="1F497D" w:themeColor="text2"/>
          <w:sz w:val="16"/>
          <w:szCs w:val="16"/>
        </w:rPr>
      </w:pPr>
      <w:r w:rsidRPr="006B64B1">
        <w:rPr>
          <w:rStyle w:val="FootnoteReference"/>
          <w:i/>
          <w:sz w:val="16"/>
          <w:szCs w:val="16"/>
        </w:rPr>
        <w:footnoteRef/>
      </w:r>
      <w:r w:rsidRPr="006B64B1">
        <w:rPr>
          <w:i/>
          <w:sz w:val="16"/>
          <w:szCs w:val="16"/>
        </w:rPr>
        <w:t xml:space="preserve"> </w:t>
      </w:r>
      <w:r w:rsidRPr="00B04B5B">
        <w:rPr>
          <w:sz w:val="16"/>
          <w:szCs w:val="16"/>
        </w:rPr>
        <w:t xml:space="preserve">Human Rights Watch, </w:t>
      </w:r>
      <w:r w:rsidRPr="00B04B5B">
        <w:rPr>
          <w:rFonts w:cs="Arial"/>
          <w:bCs/>
          <w:i/>
          <w:sz w:val="16"/>
          <w:szCs w:val="16"/>
        </w:rPr>
        <w:t xml:space="preserve">Syria’s River of Death, </w:t>
      </w:r>
      <w:r w:rsidRPr="00B04B5B">
        <w:rPr>
          <w:rFonts w:cs="Arial"/>
          <w:bCs/>
          <w:iCs/>
          <w:sz w:val="16"/>
          <w:szCs w:val="16"/>
        </w:rPr>
        <w:t>30 April 2013</w:t>
      </w:r>
    </w:p>
  </w:footnote>
  <w:footnote w:id="42">
    <w:p w:rsidR="00A12D55" w:rsidRPr="002272AE" w:rsidRDefault="00A12D55" w:rsidP="00773D36">
      <w:pPr>
        <w:pStyle w:val="FootnoteText"/>
        <w:rPr>
          <w:i/>
          <w:sz w:val="16"/>
          <w:szCs w:val="16"/>
        </w:rPr>
      </w:pPr>
      <w:r w:rsidRPr="002272AE">
        <w:rPr>
          <w:rStyle w:val="FootnoteReference"/>
          <w:i/>
          <w:sz w:val="16"/>
          <w:szCs w:val="16"/>
        </w:rPr>
        <w:footnoteRef/>
      </w:r>
      <w:r w:rsidRPr="002272AE">
        <w:rPr>
          <w:i/>
          <w:sz w:val="16"/>
          <w:szCs w:val="16"/>
        </w:rPr>
        <w:t xml:space="preserve"> </w:t>
      </w:r>
      <w:r w:rsidRPr="002272AE">
        <w:rPr>
          <w:iCs/>
          <w:sz w:val="16"/>
          <w:szCs w:val="16"/>
        </w:rPr>
        <w:t>Human Rights Watch, Syria:</w:t>
      </w:r>
      <w:r w:rsidRPr="002272AE">
        <w:rPr>
          <w:i/>
          <w:sz w:val="16"/>
          <w:szCs w:val="16"/>
        </w:rPr>
        <w:t xml:space="preserve"> Stop Torture of Children, </w:t>
      </w:r>
      <w:r w:rsidRPr="002272AE">
        <w:rPr>
          <w:iCs/>
          <w:sz w:val="16"/>
          <w:szCs w:val="16"/>
        </w:rPr>
        <w:t>3 February 2012</w:t>
      </w:r>
    </w:p>
  </w:footnote>
  <w:footnote w:id="43">
    <w:p w:rsidR="00A12D55" w:rsidRPr="006B64B1" w:rsidRDefault="00A12D55" w:rsidP="00773D36">
      <w:pPr>
        <w:tabs>
          <w:tab w:val="left" w:pos="0"/>
        </w:tabs>
        <w:spacing w:after="0" w:line="240" w:lineRule="auto"/>
        <w:jc w:val="both"/>
        <w:rPr>
          <w:rFonts w:cs="Arial"/>
          <w:i/>
          <w:color w:val="000000" w:themeColor="text1"/>
          <w:sz w:val="16"/>
          <w:szCs w:val="16"/>
          <w:lang w:val="en-US"/>
        </w:rPr>
      </w:pPr>
      <w:r w:rsidRPr="002272AE">
        <w:rPr>
          <w:rFonts w:cs="Arial"/>
          <w:i/>
          <w:color w:val="000000" w:themeColor="text1"/>
          <w:sz w:val="16"/>
          <w:szCs w:val="16"/>
        </w:rPr>
        <w:t xml:space="preserve"> </w:t>
      </w:r>
      <w:r w:rsidRPr="002272AE">
        <w:rPr>
          <w:rStyle w:val="FootnoteReference"/>
          <w:rFonts w:cs="Arial"/>
          <w:iCs/>
          <w:color w:val="000000" w:themeColor="text1"/>
          <w:sz w:val="16"/>
          <w:szCs w:val="16"/>
        </w:rPr>
        <w:footnoteRef/>
      </w:r>
      <w:r w:rsidRPr="002272AE">
        <w:rPr>
          <w:rFonts w:cs="Arial"/>
          <w:iCs/>
          <w:color w:val="000000" w:themeColor="text1"/>
          <w:sz w:val="16"/>
          <w:szCs w:val="16"/>
        </w:rPr>
        <w:t>Human Rights Watch</w:t>
      </w:r>
      <w:r w:rsidRPr="002272AE">
        <w:rPr>
          <w:rFonts w:cs="Arial"/>
          <w:i/>
          <w:color w:val="000000" w:themeColor="text1"/>
          <w:sz w:val="16"/>
          <w:szCs w:val="16"/>
        </w:rPr>
        <w:t xml:space="preserve">, </w:t>
      </w:r>
      <w:hyperlink r:id="rId2" w:tooltip="Syria: Stop Grave Abuses of Children" w:history="1">
        <w:r w:rsidRPr="002272AE">
          <w:rPr>
            <w:rFonts w:cs="Arial"/>
            <w:i/>
            <w:color w:val="000000" w:themeColor="text1"/>
            <w:spacing w:val="-15"/>
            <w:sz w:val="16"/>
            <w:szCs w:val="16"/>
            <w:shd w:val="clear" w:color="auto" w:fill="FFFFFF"/>
          </w:rPr>
          <w:t>Syria: Stop Grave Abuses of Children</w:t>
        </w:r>
      </w:hyperlink>
      <w:r w:rsidRPr="002272AE">
        <w:rPr>
          <w:rFonts w:cs="Arial"/>
          <w:i/>
          <w:color w:val="000000" w:themeColor="text1"/>
          <w:sz w:val="16"/>
          <w:szCs w:val="16"/>
        </w:rPr>
        <w:t>,</w:t>
      </w:r>
      <w:r w:rsidRPr="002272AE">
        <w:rPr>
          <w:rFonts w:cs="Arial"/>
          <w:i/>
          <w:color w:val="000000" w:themeColor="text1"/>
          <w:sz w:val="16"/>
          <w:szCs w:val="16"/>
          <w:shd w:val="clear" w:color="auto" w:fill="FFFFFF"/>
        </w:rPr>
        <w:t xml:space="preserve"> </w:t>
      </w:r>
      <w:r w:rsidRPr="002272AE">
        <w:rPr>
          <w:rFonts w:cs="Arial"/>
          <w:iCs/>
          <w:color w:val="000000" w:themeColor="text1"/>
          <w:sz w:val="16"/>
          <w:szCs w:val="16"/>
          <w:shd w:val="clear" w:color="auto" w:fill="FFFFFF"/>
        </w:rPr>
        <w:t>11 June 2012</w:t>
      </w:r>
    </w:p>
  </w:footnote>
  <w:footnote w:id="44">
    <w:p w:rsidR="00A12D55" w:rsidRPr="00FD6CE2" w:rsidRDefault="00A12D55" w:rsidP="00B04B5B">
      <w:pPr>
        <w:pStyle w:val="FootnoteText"/>
        <w:rPr>
          <w:sz w:val="16"/>
          <w:szCs w:val="16"/>
          <w:lang w:val="en-US"/>
        </w:rPr>
      </w:pPr>
      <w:r w:rsidRPr="006B64B1">
        <w:rPr>
          <w:rStyle w:val="FootnoteReference"/>
          <w:sz w:val="16"/>
          <w:szCs w:val="16"/>
        </w:rPr>
        <w:footnoteRef/>
      </w:r>
      <w:r w:rsidRPr="00FD6CE2">
        <w:rPr>
          <w:sz w:val="16"/>
          <w:szCs w:val="16"/>
          <w:lang w:val="en-US"/>
        </w:rPr>
        <w:t xml:space="preserve"> </w:t>
      </w:r>
      <w:r w:rsidRPr="00FD6CE2">
        <w:rPr>
          <w:i/>
          <w:sz w:val="16"/>
          <w:szCs w:val="16"/>
          <w:lang w:val="en-US"/>
        </w:rPr>
        <w:t>Ibid</w:t>
      </w:r>
    </w:p>
  </w:footnote>
  <w:footnote w:id="45">
    <w:p w:rsidR="00A12D55" w:rsidRPr="006B64B1" w:rsidRDefault="00A12D55" w:rsidP="00B04B5B">
      <w:pPr>
        <w:pStyle w:val="FootnoteText"/>
        <w:rPr>
          <w:i/>
          <w:iCs/>
          <w:sz w:val="16"/>
          <w:szCs w:val="16"/>
          <w:lang w:val="en-US"/>
        </w:rPr>
      </w:pPr>
      <w:r w:rsidRPr="006B64B1">
        <w:rPr>
          <w:rStyle w:val="FootnoteReference"/>
          <w:sz w:val="16"/>
          <w:szCs w:val="16"/>
        </w:rPr>
        <w:footnoteRef/>
      </w:r>
      <w:r w:rsidRPr="006B64B1">
        <w:rPr>
          <w:sz w:val="16"/>
          <w:szCs w:val="16"/>
          <w:lang w:val="en-US"/>
        </w:rPr>
        <w:t xml:space="preserve"> </w:t>
      </w:r>
      <w:r w:rsidRPr="006B64B1">
        <w:rPr>
          <w:rFonts w:cs="Times New Roman"/>
          <w:sz w:val="16"/>
          <w:szCs w:val="16"/>
        </w:rPr>
        <w:t xml:space="preserve">Assessment Working Group for North Syria, </w:t>
      </w:r>
      <w:r w:rsidRPr="006B64B1">
        <w:rPr>
          <w:rFonts w:cs="Times New Roman"/>
          <w:i/>
          <w:iCs/>
          <w:sz w:val="16"/>
          <w:szCs w:val="16"/>
        </w:rPr>
        <w:t>Joint Rapid Needs Assessment of Syria II Final Report</w:t>
      </w:r>
      <w:r w:rsidRPr="006B64B1">
        <w:rPr>
          <w:rFonts w:cs="Times New Roman"/>
          <w:sz w:val="16"/>
          <w:szCs w:val="16"/>
        </w:rPr>
        <w:t>, 22 May 2013</w:t>
      </w:r>
    </w:p>
  </w:footnote>
  <w:footnote w:id="46">
    <w:p w:rsidR="00A12D55" w:rsidRPr="006B64B1" w:rsidRDefault="00A12D55" w:rsidP="00B04B5B">
      <w:pPr>
        <w:autoSpaceDE w:val="0"/>
        <w:autoSpaceDN w:val="0"/>
        <w:adjustRightInd w:val="0"/>
        <w:spacing w:after="0" w:line="240" w:lineRule="auto"/>
        <w:rPr>
          <w:rFonts w:cs="TimesNewRomanPS-BoldMT"/>
          <w:i/>
          <w:iCs/>
          <w:sz w:val="16"/>
          <w:szCs w:val="16"/>
          <w:lang w:val="en-US"/>
        </w:rPr>
      </w:pPr>
      <w:r w:rsidRPr="006B64B1">
        <w:rPr>
          <w:rStyle w:val="FootnoteReference"/>
          <w:i/>
          <w:iCs/>
          <w:sz w:val="16"/>
          <w:szCs w:val="16"/>
        </w:rPr>
        <w:footnoteRef/>
      </w:r>
      <w:r w:rsidRPr="006B64B1">
        <w:rPr>
          <w:i/>
          <w:iCs/>
          <w:sz w:val="16"/>
          <w:szCs w:val="16"/>
          <w:lang w:val="en-US"/>
        </w:rPr>
        <w:t xml:space="preserve"> </w:t>
      </w:r>
      <w:r w:rsidRPr="006B64B1">
        <w:rPr>
          <w:rFonts w:cs="TimesNewRomanPS-BoldMT"/>
          <w:sz w:val="16"/>
          <w:szCs w:val="16"/>
          <w:lang w:val="en-US"/>
        </w:rPr>
        <w:t xml:space="preserve">Human Rights Council, </w:t>
      </w:r>
      <w:r>
        <w:rPr>
          <w:rFonts w:cs="TimesNewRomanPS-BoldMT"/>
          <w:sz w:val="16"/>
          <w:szCs w:val="16"/>
          <w:lang w:val="en-US"/>
        </w:rPr>
        <w:t>23</w:t>
      </w:r>
      <w:r w:rsidRPr="00B04B5B">
        <w:rPr>
          <w:rFonts w:cs="TimesNewRomanPS-BoldMT"/>
          <w:sz w:val="16"/>
          <w:szCs w:val="16"/>
          <w:vertAlign w:val="superscript"/>
          <w:lang w:val="en-US"/>
        </w:rPr>
        <w:t>rd</w:t>
      </w:r>
      <w:r>
        <w:rPr>
          <w:rFonts w:cs="TimesNewRomanPS-BoldMT"/>
          <w:sz w:val="16"/>
          <w:szCs w:val="16"/>
          <w:lang w:val="en-US"/>
        </w:rPr>
        <w:t xml:space="preserve"> Session, </w:t>
      </w:r>
      <w:r w:rsidRPr="006B64B1">
        <w:rPr>
          <w:rFonts w:cs="TimesNewRomanPS-BoldMT"/>
          <w:i/>
          <w:iCs/>
          <w:sz w:val="16"/>
          <w:szCs w:val="16"/>
          <w:lang w:val="en-US"/>
        </w:rPr>
        <w:t>Report of the Independent International Commission of Inquiry on the Syrian Arab</w:t>
      </w:r>
    </w:p>
    <w:p w:rsidR="00A12D55" w:rsidRPr="006B64B1" w:rsidRDefault="00A12D55" w:rsidP="00B04B5B">
      <w:pPr>
        <w:spacing w:after="0" w:line="240" w:lineRule="auto"/>
        <w:rPr>
          <w:rFonts w:cs="Times New Roman"/>
          <w:sz w:val="16"/>
          <w:szCs w:val="16"/>
        </w:rPr>
      </w:pPr>
      <w:r w:rsidRPr="006B64B1">
        <w:rPr>
          <w:rFonts w:cs="TimesNewRomanPS-BoldMT"/>
          <w:i/>
          <w:iCs/>
          <w:sz w:val="16"/>
          <w:szCs w:val="16"/>
          <w:lang w:val="en-US"/>
        </w:rPr>
        <w:t>Republic</w:t>
      </w:r>
      <w:r w:rsidRPr="006B64B1">
        <w:rPr>
          <w:rFonts w:cs="TimesNewRomanPS-BoldMT"/>
          <w:sz w:val="16"/>
          <w:szCs w:val="16"/>
          <w:lang w:val="en-US"/>
        </w:rPr>
        <w:t>, June 2013</w:t>
      </w:r>
    </w:p>
  </w:footnote>
  <w:footnote w:id="47">
    <w:p w:rsidR="00A12D55" w:rsidRPr="00B04B5B" w:rsidRDefault="00A12D55" w:rsidP="00D378E8">
      <w:pPr>
        <w:pStyle w:val="FootnoteText"/>
        <w:tabs>
          <w:tab w:val="left" w:pos="0"/>
        </w:tabs>
        <w:jc w:val="both"/>
        <w:rPr>
          <w:rFonts w:cs="Arial"/>
          <w:iCs/>
          <w:color w:val="000000" w:themeColor="text1"/>
          <w:sz w:val="16"/>
          <w:szCs w:val="16"/>
        </w:rPr>
      </w:pPr>
      <w:r>
        <w:rPr>
          <w:rFonts w:cs="Arial"/>
          <w:i/>
          <w:color w:val="000000" w:themeColor="text1"/>
          <w:sz w:val="16"/>
          <w:szCs w:val="16"/>
          <w:lang w:val="en-US"/>
        </w:rPr>
        <w:t xml:space="preserve"> </w:t>
      </w:r>
      <w:r w:rsidRPr="006B64B1">
        <w:rPr>
          <w:rStyle w:val="FootnoteReference"/>
          <w:rFonts w:cs="Arial"/>
          <w:i/>
          <w:color w:val="000000" w:themeColor="text1"/>
          <w:sz w:val="16"/>
          <w:szCs w:val="16"/>
        </w:rPr>
        <w:footnoteRef/>
      </w:r>
      <w:r w:rsidRPr="006B64B1">
        <w:rPr>
          <w:rFonts w:cs="Arial"/>
          <w:i/>
          <w:color w:val="000000" w:themeColor="text1"/>
          <w:sz w:val="16"/>
          <w:szCs w:val="16"/>
        </w:rPr>
        <w:t xml:space="preserve"> </w:t>
      </w:r>
      <w:r w:rsidRPr="00B04B5B">
        <w:rPr>
          <w:rFonts w:cs="Arial"/>
          <w:iCs/>
          <w:color w:val="000000" w:themeColor="text1"/>
          <w:sz w:val="16"/>
          <w:szCs w:val="16"/>
          <w:lang w:val="en-US"/>
        </w:rPr>
        <w:t>Save the Children</w:t>
      </w:r>
      <w:r>
        <w:rPr>
          <w:rFonts w:cs="Arial"/>
          <w:i/>
          <w:color w:val="000000" w:themeColor="text1"/>
          <w:sz w:val="16"/>
          <w:szCs w:val="16"/>
          <w:lang w:val="en-US"/>
        </w:rPr>
        <w:t>,</w:t>
      </w:r>
      <w:r w:rsidRPr="006B64B1">
        <w:rPr>
          <w:rFonts w:cs="Arial"/>
          <w:i/>
          <w:color w:val="000000" w:themeColor="text1"/>
          <w:sz w:val="16"/>
          <w:szCs w:val="16"/>
          <w:lang w:val="en-US"/>
        </w:rPr>
        <w:t xml:space="preserve"> Untold Atrocities</w:t>
      </w:r>
      <w:r>
        <w:rPr>
          <w:rFonts w:cs="Arial"/>
          <w:i/>
          <w:color w:val="000000" w:themeColor="text1"/>
          <w:sz w:val="16"/>
          <w:szCs w:val="16"/>
          <w:lang w:val="en-US"/>
        </w:rPr>
        <w:t>: The Story of Syria’s Children,</w:t>
      </w:r>
      <w:r w:rsidRPr="006B64B1">
        <w:rPr>
          <w:rFonts w:cs="Arial"/>
          <w:i/>
          <w:color w:val="000000" w:themeColor="text1"/>
          <w:sz w:val="16"/>
          <w:szCs w:val="16"/>
          <w:lang w:val="en-US"/>
        </w:rPr>
        <w:t xml:space="preserve"> </w:t>
      </w:r>
      <w:r w:rsidRPr="00B04B5B">
        <w:rPr>
          <w:rFonts w:cs="Arial"/>
          <w:iCs/>
          <w:color w:val="000000" w:themeColor="text1"/>
          <w:sz w:val="16"/>
          <w:szCs w:val="16"/>
          <w:lang w:val="en-US"/>
        </w:rPr>
        <w:t>October 2012</w:t>
      </w:r>
    </w:p>
  </w:footnote>
  <w:footnote w:id="48">
    <w:p w:rsidR="00A12D55" w:rsidRPr="003B218F" w:rsidRDefault="00A12D55">
      <w:pPr>
        <w:pStyle w:val="FootnoteText"/>
        <w:rPr>
          <w:sz w:val="16"/>
          <w:szCs w:val="16"/>
        </w:rPr>
      </w:pPr>
      <w:r>
        <w:rPr>
          <w:rStyle w:val="FootnoteReference"/>
        </w:rPr>
        <w:footnoteRef/>
      </w:r>
      <w:r>
        <w:t xml:space="preserve"> </w:t>
      </w:r>
      <w:r>
        <w:rPr>
          <w:sz w:val="16"/>
          <w:szCs w:val="16"/>
        </w:rPr>
        <w:t xml:space="preserve">Human Rights Watch, </w:t>
      </w:r>
      <w:r w:rsidRPr="003B218F">
        <w:rPr>
          <w:i/>
          <w:iCs/>
          <w:sz w:val="16"/>
          <w:szCs w:val="16"/>
        </w:rPr>
        <w:t>Safe No More: Student and Schools Under Attack in Syria</w:t>
      </w:r>
      <w:r>
        <w:rPr>
          <w:sz w:val="16"/>
          <w:szCs w:val="16"/>
        </w:rPr>
        <w:t>, June 2013</w:t>
      </w:r>
    </w:p>
  </w:footnote>
  <w:footnote w:id="49">
    <w:p w:rsidR="00A12D55" w:rsidRPr="00711213" w:rsidRDefault="00A12D55" w:rsidP="00896143">
      <w:pPr>
        <w:pStyle w:val="FootnoteText"/>
        <w:tabs>
          <w:tab w:val="left" w:pos="0"/>
          <w:tab w:val="left" w:pos="567"/>
          <w:tab w:val="left" w:pos="851"/>
        </w:tabs>
        <w:jc w:val="both"/>
        <w:rPr>
          <w:rFonts w:cs="Arial"/>
          <w:i/>
          <w:iCs/>
          <w:sz w:val="16"/>
          <w:szCs w:val="16"/>
        </w:rPr>
      </w:pPr>
      <w:r w:rsidRPr="00711213">
        <w:rPr>
          <w:rStyle w:val="FootnoteReference"/>
          <w:rFonts w:cs="Arial"/>
          <w:i/>
          <w:iCs/>
          <w:color w:val="000000" w:themeColor="text1"/>
          <w:sz w:val="16"/>
          <w:szCs w:val="16"/>
        </w:rPr>
        <w:footnoteRef/>
      </w:r>
      <w:r>
        <w:rPr>
          <w:rFonts w:cs="Arial"/>
          <w:i/>
          <w:iCs/>
          <w:color w:val="000000" w:themeColor="text1"/>
          <w:sz w:val="16"/>
          <w:szCs w:val="16"/>
        </w:rPr>
        <w:t xml:space="preserve"> </w:t>
      </w:r>
      <w:r w:rsidRPr="00B04B5B">
        <w:rPr>
          <w:rFonts w:cs="Arial"/>
          <w:color w:val="000000" w:themeColor="text1"/>
          <w:sz w:val="16"/>
          <w:szCs w:val="16"/>
        </w:rPr>
        <w:t>Human Rights Watch</w:t>
      </w:r>
      <w:r>
        <w:rPr>
          <w:rFonts w:cs="Arial"/>
          <w:i/>
          <w:iCs/>
          <w:color w:val="000000" w:themeColor="text1"/>
          <w:sz w:val="16"/>
          <w:szCs w:val="16"/>
        </w:rPr>
        <w:t xml:space="preserve">, Torture Archipelago: </w:t>
      </w:r>
      <w:r w:rsidRPr="00711213">
        <w:rPr>
          <w:rFonts w:cs="Arial"/>
          <w:i/>
          <w:iCs/>
          <w:color w:val="000000" w:themeColor="text1"/>
          <w:sz w:val="16"/>
          <w:szCs w:val="16"/>
        </w:rPr>
        <w:t>Arbitrary Arrests, Torture, and Enforced Disappearances in Syria’s Underg</w:t>
      </w:r>
      <w:r>
        <w:rPr>
          <w:rFonts w:cs="Arial"/>
          <w:i/>
          <w:iCs/>
          <w:color w:val="000000" w:themeColor="text1"/>
          <w:sz w:val="16"/>
          <w:szCs w:val="16"/>
        </w:rPr>
        <w:t xml:space="preserve">round Prisons since March 2011, </w:t>
      </w:r>
      <w:r w:rsidRPr="00B04B5B">
        <w:rPr>
          <w:rFonts w:cs="Arial"/>
          <w:color w:val="000000" w:themeColor="text1"/>
          <w:sz w:val="16"/>
          <w:szCs w:val="16"/>
        </w:rPr>
        <w:t>July 2012</w:t>
      </w:r>
    </w:p>
  </w:footnote>
  <w:footnote w:id="50">
    <w:p w:rsidR="00A12D55" w:rsidRPr="00D31D6C" w:rsidRDefault="00A12D55" w:rsidP="00F97D5B">
      <w:pPr>
        <w:autoSpaceDE w:val="0"/>
        <w:autoSpaceDN w:val="0"/>
        <w:adjustRightInd w:val="0"/>
        <w:spacing w:after="0" w:line="240" w:lineRule="auto"/>
        <w:rPr>
          <w:rFonts w:cs="TimesNewRomanPS-BoldMT"/>
          <w:i/>
          <w:iCs/>
          <w:sz w:val="16"/>
          <w:szCs w:val="16"/>
          <w:lang w:val="en-US"/>
        </w:rPr>
      </w:pPr>
      <w:r w:rsidRPr="00711213">
        <w:rPr>
          <w:rStyle w:val="FootnoteReference"/>
          <w:i/>
          <w:iCs/>
          <w:sz w:val="16"/>
          <w:szCs w:val="16"/>
        </w:rPr>
        <w:footnoteRef/>
      </w:r>
      <w:r w:rsidRPr="00711213">
        <w:rPr>
          <w:i/>
          <w:iCs/>
          <w:sz w:val="16"/>
          <w:szCs w:val="16"/>
        </w:rPr>
        <w:t xml:space="preserve"> </w:t>
      </w:r>
      <w:r w:rsidRPr="00D31D6C">
        <w:rPr>
          <w:rFonts w:cs="TimesNewRomanPS-BoldMT"/>
          <w:sz w:val="16"/>
          <w:szCs w:val="16"/>
          <w:lang w:val="en-US"/>
        </w:rPr>
        <w:t xml:space="preserve">Human Rights Council, </w:t>
      </w:r>
      <w:r>
        <w:rPr>
          <w:rFonts w:cs="TimesNewRomanPS-BoldMT"/>
          <w:sz w:val="16"/>
          <w:szCs w:val="16"/>
          <w:lang w:val="en-US"/>
        </w:rPr>
        <w:t>22</w:t>
      </w:r>
      <w:r w:rsidRPr="002F7320">
        <w:rPr>
          <w:rFonts w:cs="TimesNewRomanPS-BoldMT"/>
          <w:sz w:val="16"/>
          <w:szCs w:val="16"/>
          <w:vertAlign w:val="superscript"/>
          <w:lang w:val="en-US"/>
        </w:rPr>
        <w:t>nd</w:t>
      </w:r>
      <w:r>
        <w:rPr>
          <w:rFonts w:cs="TimesNewRomanPS-BoldMT"/>
          <w:sz w:val="16"/>
          <w:szCs w:val="16"/>
          <w:lang w:val="en-US"/>
        </w:rPr>
        <w:t xml:space="preserve"> Session, </w:t>
      </w:r>
      <w:r w:rsidRPr="00D31D6C">
        <w:rPr>
          <w:rFonts w:cs="TimesNewRomanPS-BoldMT"/>
          <w:i/>
          <w:iCs/>
          <w:sz w:val="16"/>
          <w:szCs w:val="16"/>
          <w:lang w:val="en-US"/>
        </w:rPr>
        <w:t>Report of the Independent International Commission of Inquiry on the Syrian Arab</w:t>
      </w:r>
    </w:p>
    <w:p w:rsidR="00A12D55" w:rsidRPr="00711213" w:rsidRDefault="00A12D55" w:rsidP="00F97D5B">
      <w:pPr>
        <w:pStyle w:val="FootnoteText"/>
        <w:rPr>
          <w:i/>
          <w:iCs/>
          <w:sz w:val="16"/>
          <w:szCs w:val="16"/>
        </w:rPr>
      </w:pPr>
      <w:r w:rsidRPr="00D31D6C">
        <w:rPr>
          <w:rFonts w:cs="TimesNewRomanPS-BoldMT"/>
          <w:i/>
          <w:iCs/>
          <w:sz w:val="16"/>
          <w:szCs w:val="16"/>
          <w:lang w:val="en-US"/>
        </w:rPr>
        <w:t>Republic</w:t>
      </w:r>
      <w:r>
        <w:rPr>
          <w:rFonts w:cs="TimesNewRomanPS-BoldMT"/>
          <w:i/>
          <w:iCs/>
          <w:sz w:val="16"/>
          <w:szCs w:val="16"/>
          <w:lang w:val="en-US"/>
        </w:rPr>
        <w:t>, February 2013</w:t>
      </w:r>
    </w:p>
  </w:footnote>
  <w:footnote w:id="51">
    <w:p w:rsidR="00A12D55" w:rsidRPr="00D31D6C" w:rsidRDefault="00A12D55" w:rsidP="002F7320">
      <w:pPr>
        <w:autoSpaceDE w:val="0"/>
        <w:autoSpaceDN w:val="0"/>
        <w:adjustRightInd w:val="0"/>
        <w:spacing w:after="0" w:line="240" w:lineRule="auto"/>
        <w:rPr>
          <w:rFonts w:cs="TimesNewRomanPS-BoldMT"/>
          <w:i/>
          <w:iCs/>
          <w:sz w:val="16"/>
          <w:szCs w:val="16"/>
          <w:lang w:val="en-US"/>
        </w:rPr>
      </w:pPr>
      <w:r w:rsidRPr="00711213">
        <w:rPr>
          <w:rStyle w:val="FootnoteReference"/>
          <w:i/>
          <w:iCs/>
          <w:sz w:val="16"/>
          <w:szCs w:val="16"/>
        </w:rPr>
        <w:footnoteRef/>
      </w:r>
      <w:r w:rsidRPr="00711213">
        <w:rPr>
          <w:i/>
          <w:iCs/>
          <w:sz w:val="16"/>
          <w:szCs w:val="16"/>
        </w:rPr>
        <w:t xml:space="preserve"> </w:t>
      </w:r>
      <w:r w:rsidRPr="00D31D6C">
        <w:rPr>
          <w:rFonts w:cs="TimesNewRomanPS-BoldMT"/>
          <w:sz w:val="16"/>
          <w:szCs w:val="16"/>
          <w:lang w:val="en-US"/>
        </w:rPr>
        <w:t xml:space="preserve">Human Rights Council, </w:t>
      </w:r>
      <w:r>
        <w:rPr>
          <w:rFonts w:cs="TimesNewRomanPS-BoldMT"/>
          <w:sz w:val="16"/>
          <w:szCs w:val="16"/>
          <w:lang w:val="en-US"/>
        </w:rPr>
        <w:t>23</w:t>
      </w:r>
      <w:r w:rsidRPr="002F7320">
        <w:rPr>
          <w:rFonts w:cs="TimesNewRomanPS-BoldMT"/>
          <w:sz w:val="16"/>
          <w:szCs w:val="16"/>
          <w:vertAlign w:val="superscript"/>
          <w:lang w:val="en-US"/>
        </w:rPr>
        <w:t>rd</w:t>
      </w:r>
      <w:r>
        <w:rPr>
          <w:rFonts w:cs="TimesNewRomanPS-BoldMT"/>
          <w:sz w:val="16"/>
          <w:szCs w:val="16"/>
          <w:lang w:val="en-US"/>
        </w:rPr>
        <w:t xml:space="preserve"> Session, </w:t>
      </w:r>
      <w:r w:rsidRPr="00D31D6C">
        <w:rPr>
          <w:rFonts w:cs="TimesNewRomanPS-BoldMT"/>
          <w:i/>
          <w:iCs/>
          <w:sz w:val="16"/>
          <w:szCs w:val="16"/>
          <w:lang w:val="en-US"/>
        </w:rPr>
        <w:t>Report of the Independent International Commission of Inquiry on the Syrian Arab</w:t>
      </w:r>
    </w:p>
    <w:p w:rsidR="00A12D55" w:rsidRPr="00226501" w:rsidRDefault="00A12D55" w:rsidP="002F7320">
      <w:pPr>
        <w:spacing w:after="0" w:line="240" w:lineRule="auto"/>
        <w:rPr>
          <w:rFonts w:cs="Times New Roman"/>
          <w:sz w:val="16"/>
          <w:szCs w:val="16"/>
        </w:rPr>
      </w:pPr>
      <w:r w:rsidRPr="00D31D6C">
        <w:rPr>
          <w:rFonts w:cs="TimesNewRomanPS-BoldMT"/>
          <w:i/>
          <w:iCs/>
          <w:sz w:val="16"/>
          <w:szCs w:val="16"/>
          <w:lang w:val="en-US"/>
        </w:rPr>
        <w:t>Republic</w:t>
      </w:r>
      <w:r w:rsidRPr="00D31D6C">
        <w:rPr>
          <w:rFonts w:cs="TimesNewRomanPS-BoldMT"/>
          <w:sz w:val="16"/>
          <w:szCs w:val="16"/>
          <w:lang w:val="en-US"/>
        </w:rPr>
        <w:t>, June 2013</w:t>
      </w:r>
    </w:p>
  </w:footnote>
  <w:footnote w:id="52">
    <w:p w:rsidR="00A12D55" w:rsidRPr="002F7320" w:rsidRDefault="00A12D55" w:rsidP="002F7320">
      <w:pPr>
        <w:pStyle w:val="FootnoteText"/>
        <w:tabs>
          <w:tab w:val="left" w:pos="0"/>
          <w:tab w:val="left" w:pos="567"/>
          <w:tab w:val="left" w:pos="851"/>
        </w:tabs>
        <w:jc w:val="both"/>
        <w:rPr>
          <w:rFonts w:cs="Arial"/>
          <w:color w:val="000000" w:themeColor="text1"/>
          <w:sz w:val="16"/>
          <w:szCs w:val="16"/>
        </w:rPr>
      </w:pPr>
      <w:r w:rsidRPr="00711213">
        <w:rPr>
          <w:rFonts w:cs="Arial"/>
          <w:i/>
          <w:iCs/>
          <w:color w:val="000000" w:themeColor="text1"/>
          <w:sz w:val="16"/>
          <w:szCs w:val="16"/>
        </w:rPr>
        <w:t xml:space="preserve"> </w:t>
      </w:r>
      <w:r w:rsidRPr="00711213">
        <w:rPr>
          <w:rStyle w:val="FootnoteReference"/>
          <w:rFonts w:cs="Arial"/>
          <w:i/>
          <w:iCs/>
          <w:color w:val="000000" w:themeColor="text1"/>
          <w:sz w:val="16"/>
          <w:szCs w:val="16"/>
        </w:rPr>
        <w:footnoteRef/>
      </w:r>
      <w:r w:rsidRPr="002F7320">
        <w:rPr>
          <w:rFonts w:cs="Arial"/>
          <w:color w:val="000000" w:themeColor="text1"/>
          <w:sz w:val="16"/>
          <w:szCs w:val="16"/>
          <w:lang w:val="en-US"/>
        </w:rPr>
        <w:t>Amnesty International</w:t>
      </w:r>
      <w:r>
        <w:rPr>
          <w:rFonts w:cs="Arial"/>
          <w:i/>
          <w:iCs/>
          <w:color w:val="000000" w:themeColor="text1"/>
          <w:sz w:val="16"/>
          <w:szCs w:val="16"/>
          <w:lang w:val="en-US"/>
        </w:rPr>
        <w:t>, Annual Report 2012 – the State of the World’s Human R</w:t>
      </w:r>
      <w:r w:rsidRPr="00711213">
        <w:rPr>
          <w:rFonts w:cs="Arial"/>
          <w:i/>
          <w:iCs/>
          <w:color w:val="000000" w:themeColor="text1"/>
          <w:sz w:val="16"/>
          <w:szCs w:val="16"/>
          <w:lang w:val="en-US"/>
        </w:rPr>
        <w:t>ights – Syria</w:t>
      </w:r>
      <w:r>
        <w:rPr>
          <w:rFonts w:cs="Arial"/>
          <w:i/>
          <w:iCs/>
          <w:color w:val="000000" w:themeColor="text1"/>
          <w:sz w:val="16"/>
          <w:szCs w:val="16"/>
          <w:lang w:val="en-US"/>
        </w:rPr>
        <w:t xml:space="preserve">, </w:t>
      </w:r>
      <w:r>
        <w:rPr>
          <w:rFonts w:cs="Arial"/>
          <w:color w:val="000000" w:themeColor="text1"/>
          <w:sz w:val="16"/>
          <w:szCs w:val="16"/>
          <w:lang w:val="en-US"/>
        </w:rPr>
        <w:t>2012</w:t>
      </w:r>
    </w:p>
  </w:footnote>
  <w:footnote w:id="53">
    <w:p w:rsidR="00A12D55" w:rsidRPr="00C832E2" w:rsidRDefault="00A12D55" w:rsidP="00C832E2">
      <w:pPr>
        <w:spacing w:after="0" w:line="240" w:lineRule="auto"/>
        <w:rPr>
          <w:rFonts w:cs="Times New Roman"/>
          <w:sz w:val="16"/>
          <w:szCs w:val="16"/>
        </w:rPr>
      </w:pPr>
      <w:r w:rsidRPr="00C832E2">
        <w:rPr>
          <w:rStyle w:val="FootnoteReference"/>
          <w:sz w:val="16"/>
          <w:szCs w:val="16"/>
        </w:rPr>
        <w:footnoteRef/>
      </w:r>
      <w:r w:rsidRPr="00C832E2">
        <w:rPr>
          <w:sz w:val="16"/>
          <w:szCs w:val="16"/>
        </w:rPr>
        <w:t xml:space="preserve"> </w:t>
      </w:r>
      <w:r w:rsidRPr="00C832E2">
        <w:rPr>
          <w:rFonts w:cs="Lucida Sans Unicode"/>
          <w:sz w:val="16"/>
          <w:szCs w:val="16"/>
        </w:rPr>
        <w:t xml:space="preserve">Amnesty International, </w:t>
      </w:r>
      <w:hyperlink r:id="rId3" w:tgtFrame="_blank" w:history="1">
        <w:r w:rsidRPr="00C832E2">
          <w:rPr>
            <w:rStyle w:val="Emphasis"/>
            <w:rFonts w:cs="Lucida Sans Unicode"/>
            <w:sz w:val="16"/>
            <w:szCs w:val="16"/>
          </w:rPr>
          <w:t>Deadly detention: Deaths in custody amid popular protest in Syria</w:t>
        </w:r>
      </w:hyperlink>
      <w:r w:rsidRPr="00C832E2">
        <w:rPr>
          <w:rFonts w:cs="Lucida Sans Unicode"/>
          <w:sz w:val="16"/>
          <w:szCs w:val="16"/>
        </w:rPr>
        <w:t>, August 2011</w:t>
      </w:r>
    </w:p>
  </w:footnote>
  <w:footnote w:id="54">
    <w:p w:rsidR="00A12D55" w:rsidRPr="0016387D" w:rsidRDefault="00A12D55">
      <w:pPr>
        <w:pStyle w:val="FootnoteText"/>
        <w:rPr>
          <w:lang w:val="en-US"/>
        </w:rPr>
      </w:pPr>
      <w:r>
        <w:rPr>
          <w:rStyle w:val="FootnoteReference"/>
        </w:rPr>
        <w:footnoteRef/>
      </w:r>
      <w:r>
        <w:t xml:space="preserve"> </w:t>
      </w:r>
      <w:r w:rsidRPr="009B1FCA">
        <w:rPr>
          <w:sz w:val="16"/>
          <w:szCs w:val="16"/>
        </w:rPr>
        <w:t>UN</w:t>
      </w:r>
      <w:r>
        <w:rPr>
          <w:sz w:val="16"/>
          <w:szCs w:val="16"/>
        </w:rPr>
        <w:t xml:space="preserve"> General Assembly Security Council</w:t>
      </w:r>
      <w:r w:rsidRPr="009B1FCA">
        <w:rPr>
          <w:sz w:val="16"/>
          <w:szCs w:val="16"/>
        </w:rPr>
        <w:t xml:space="preserve">, </w:t>
      </w:r>
      <w:r>
        <w:rPr>
          <w:sz w:val="16"/>
          <w:szCs w:val="16"/>
        </w:rPr>
        <w:t>67</w:t>
      </w:r>
      <w:r w:rsidRPr="009B1FCA">
        <w:rPr>
          <w:sz w:val="16"/>
          <w:szCs w:val="16"/>
          <w:vertAlign w:val="superscript"/>
        </w:rPr>
        <w:t>th</w:t>
      </w:r>
      <w:r>
        <w:rPr>
          <w:sz w:val="16"/>
          <w:szCs w:val="16"/>
        </w:rPr>
        <w:t xml:space="preserve"> Session, Children and Armed Conflict, Report of the Secretary General, 15 May 2013</w:t>
      </w:r>
    </w:p>
  </w:footnote>
  <w:footnote w:id="55">
    <w:p w:rsidR="00A12D55" w:rsidRPr="006B64B1" w:rsidRDefault="00A12D55" w:rsidP="002F7320">
      <w:pPr>
        <w:tabs>
          <w:tab w:val="left" w:pos="0"/>
          <w:tab w:val="left" w:pos="567"/>
          <w:tab w:val="left" w:pos="851"/>
        </w:tabs>
        <w:spacing w:after="0" w:line="240" w:lineRule="auto"/>
        <w:jc w:val="both"/>
        <w:outlineLvl w:val="5"/>
        <w:rPr>
          <w:rFonts w:eastAsia="Times New Roman" w:cs="Arial"/>
          <w:sz w:val="16"/>
          <w:szCs w:val="16"/>
          <w:lang w:val="en-US"/>
        </w:rPr>
      </w:pPr>
      <w:r w:rsidRPr="00711213">
        <w:rPr>
          <w:rFonts w:cs="Arial"/>
          <w:i/>
          <w:iCs/>
          <w:sz w:val="16"/>
          <w:szCs w:val="16"/>
        </w:rPr>
        <w:t xml:space="preserve"> </w:t>
      </w:r>
      <w:r w:rsidRPr="00711213">
        <w:rPr>
          <w:rStyle w:val="FootnoteReference"/>
          <w:rFonts w:cs="Arial"/>
          <w:i/>
          <w:iCs/>
          <w:sz w:val="16"/>
          <w:szCs w:val="16"/>
        </w:rPr>
        <w:footnoteRef/>
      </w:r>
      <w:r w:rsidRPr="00711213">
        <w:rPr>
          <w:rFonts w:cs="Arial"/>
          <w:i/>
          <w:iCs/>
          <w:sz w:val="16"/>
          <w:szCs w:val="16"/>
        </w:rPr>
        <w:t xml:space="preserve"> </w:t>
      </w:r>
      <w:r>
        <w:rPr>
          <w:rFonts w:eastAsia="Times New Roman" w:cs="Arial"/>
          <w:spacing w:val="-15"/>
          <w:sz w:val="16"/>
          <w:szCs w:val="16"/>
        </w:rPr>
        <w:t>Ibid</w:t>
      </w:r>
    </w:p>
  </w:footnote>
  <w:footnote w:id="56">
    <w:p w:rsidR="00A12D55" w:rsidRDefault="00A12D55" w:rsidP="00AE7DA0">
      <w:pPr>
        <w:pStyle w:val="FootnoteText"/>
      </w:pPr>
      <w:r w:rsidRPr="00711213">
        <w:rPr>
          <w:rStyle w:val="FootnoteReference"/>
          <w:i/>
          <w:iCs/>
          <w:sz w:val="16"/>
          <w:szCs w:val="16"/>
        </w:rPr>
        <w:footnoteRef/>
      </w:r>
      <w:r w:rsidRPr="00711213">
        <w:rPr>
          <w:i/>
          <w:iCs/>
          <w:sz w:val="16"/>
          <w:szCs w:val="16"/>
        </w:rPr>
        <w:t xml:space="preserve"> </w:t>
      </w:r>
      <w:r w:rsidRPr="000A1895">
        <w:rPr>
          <w:rFonts w:cs="Times New Roman"/>
          <w:sz w:val="16"/>
          <w:szCs w:val="16"/>
        </w:rPr>
        <w:t xml:space="preserve">Assessment Working Group for North Syria, </w:t>
      </w:r>
      <w:r w:rsidRPr="000A1895">
        <w:rPr>
          <w:rFonts w:cs="Times New Roman"/>
          <w:i/>
          <w:iCs/>
          <w:sz w:val="16"/>
          <w:szCs w:val="16"/>
        </w:rPr>
        <w:t>Joint Rapid Needs Assessment of Syria II Final Report</w:t>
      </w:r>
      <w:r w:rsidRPr="000A1895">
        <w:rPr>
          <w:rFonts w:cs="Times New Roman"/>
          <w:sz w:val="16"/>
          <w:szCs w:val="16"/>
        </w:rPr>
        <w:t>, 22 May 2013</w:t>
      </w:r>
    </w:p>
  </w:footnote>
  <w:footnote w:id="57">
    <w:p w:rsidR="00A12D55" w:rsidRPr="00D31D6C" w:rsidRDefault="00A12D55" w:rsidP="002F7320">
      <w:pPr>
        <w:autoSpaceDE w:val="0"/>
        <w:autoSpaceDN w:val="0"/>
        <w:adjustRightInd w:val="0"/>
        <w:spacing w:after="0" w:line="240" w:lineRule="auto"/>
        <w:rPr>
          <w:rFonts w:cs="TimesNewRomanPS-BoldMT"/>
          <w:i/>
          <w:iCs/>
          <w:sz w:val="16"/>
          <w:szCs w:val="16"/>
          <w:lang w:val="en-US"/>
        </w:rPr>
      </w:pPr>
      <w:r w:rsidRPr="00711213">
        <w:rPr>
          <w:rStyle w:val="FootnoteReference"/>
          <w:i/>
          <w:sz w:val="16"/>
          <w:szCs w:val="16"/>
        </w:rPr>
        <w:footnoteRef/>
      </w:r>
      <w:r w:rsidRPr="00711213">
        <w:rPr>
          <w:i/>
          <w:sz w:val="16"/>
          <w:szCs w:val="16"/>
        </w:rPr>
        <w:t xml:space="preserve"> </w:t>
      </w:r>
      <w:r w:rsidRPr="00D31D6C">
        <w:rPr>
          <w:rFonts w:cs="TimesNewRomanPS-BoldMT"/>
          <w:sz w:val="16"/>
          <w:szCs w:val="16"/>
          <w:lang w:val="en-US"/>
        </w:rPr>
        <w:t xml:space="preserve">Human Rights Council, </w:t>
      </w:r>
      <w:r>
        <w:rPr>
          <w:rFonts w:cs="TimesNewRomanPS-BoldMT"/>
          <w:sz w:val="16"/>
          <w:szCs w:val="16"/>
          <w:lang w:val="en-US"/>
        </w:rPr>
        <w:t>21</w:t>
      </w:r>
      <w:r w:rsidRPr="002F7320">
        <w:rPr>
          <w:rFonts w:cs="TimesNewRomanPS-BoldMT"/>
          <w:sz w:val="16"/>
          <w:szCs w:val="16"/>
          <w:vertAlign w:val="superscript"/>
          <w:lang w:val="en-US"/>
        </w:rPr>
        <w:t>st</w:t>
      </w:r>
      <w:r>
        <w:rPr>
          <w:rFonts w:cs="TimesNewRomanPS-BoldMT"/>
          <w:sz w:val="16"/>
          <w:szCs w:val="16"/>
          <w:lang w:val="en-US"/>
        </w:rPr>
        <w:t xml:space="preserve"> Session, </w:t>
      </w:r>
      <w:r w:rsidRPr="00D31D6C">
        <w:rPr>
          <w:rFonts w:cs="TimesNewRomanPS-BoldMT"/>
          <w:i/>
          <w:iCs/>
          <w:sz w:val="16"/>
          <w:szCs w:val="16"/>
          <w:lang w:val="en-US"/>
        </w:rPr>
        <w:t>Report of the Independent International Commission of Inquiry on the Syrian Arab</w:t>
      </w:r>
    </w:p>
    <w:p w:rsidR="00A12D55" w:rsidRPr="002F7320" w:rsidRDefault="00A12D55" w:rsidP="002F7320">
      <w:pPr>
        <w:spacing w:after="0" w:line="240" w:lineRule="auto"/>
        <w:rPr>
          <w:rFonts w:cs="Times New Roman"/>
          <w:sz w:val="16"/>
          <w:szCs w:val="16"/>
        </w:rPr>
      </w:pPr>
      <w:r w:rsidRPr="00D31D6C">
        <w:rPr>
          <w:rFonts w:cs="TimesNewRomanPS-BoldMT"/>
          <w:i/>
          <w:iCs/>
          <w:sz w:val="16"/>
          <w:szCs w:val="16"/>
          <w:lang w:val="en-US"/>
        </w:rPr>
        <w:t>Republic</w:t>
      </w:r>
      <w:r w:rsidRPr="00D31D6C">
        <w:rPr>
          <w:rFonts w:cs="TimesNewRomanPS-BoldMT"/>
          <w:sz w:val="16"/>
          <w:szCs w:val="16"/>
          <w:lang w:val="en-US"/>
        </w:rPr>
        <w:t xml:space="preserve">, </w:t>
      </w:r>
      <w:r>
        <w:rPr>
          <w:rFonts w:cs="TimesNewRomanPS-BoldMT"/>
          <w:sz w:val="16"/>
          <w:szCs w:val="16"/>
          <w:lang w:val="en-US"/>
        </w:rPr>
        <w:t>August 2012</w:t>
      </w:r>
    </w:p>
  </w:footnote>
  <w:footnote w:id="58">
    <w:p w:rsidR="00A12D55" w:rsidRPr="0016387D" w:rsidRDefault="00A12D55" w:rsidP="00481BF5">
      <w:pPr>
        <w:pStyle w:val="FootnoteText"/>
        <w:rPr>
          <w:lang w:val="en-US"/>
        </w:rPr>
      </w:pPr>
      <w:r w:rsidRPr="009B1FCA">
        <w:rPr>
          <w:rStyle w:val="FootnoteReference"/>
          <w:sz w:val="16"/>
          <w:szCs w:val="16"/>
        </w:rPr>
        <w:footnoteRef/>
      </w:r>
      <w:r>
        <w:t xml:space="preserve"> </w:t>
      </w:r>
      <w:r w:rsidRPr="009B1FCA">
        <w:rPr>
          <w:sz w:val="16"/>
          <w:szCs w:val="16"/>
        </w:rPr>
        <w:t>UN</w:t>
      </w:r>
      <w:r>
        <w:rPr>
          <w:sz w:val="16"/>
          <w:szCs w:val="16"/>
        </w:rPr>
        <w:t xml:space="preserve"> General Assembly Security Council</w:t>
      </w:r>
      <w:r w:rsidRPr="009B1FCA">
        <w:rPr>
          <w:sz w:val="16"/>
          <w:szCs w:val="16"/>
        </w:rPr>
        <w:t xml:space="preserve">, </w:t>
      </w:r>
      <w:r>
        <w:rPr>
          <w:sz w:val="16"/>
          <w:szCs w:val="16"/>
        </w:rPr>
        <w:t>67</w:t>
      </w:r>
      <w:r w:rsidRPr="009B1FCA">
        <w:rPr>
          <w:sz w:val="16"/>
          <w:szCs w:val="16"/>
          <w:vertAlign w:val="superscript"/>
        </w:rPr>
        <w:t>th</w:t>
      </w:r>
      <w:r>
        <w:rPr>
          <w:sz w:val="16"/>
          <w:szCs w:val="16"/>
        </w:rPr>
        <w:t xml:space="preserve"> Session, </w:t>
      </w:r>
      <w:r w:rsidRPr="009B1FCA">
        <w:rPr>
          <w:i/>
          <w:iCs/>
          <w:sz w:val="16"/>
          <w:szCs w:val="16"/>
        </w:rPr>
        <w:t>Children and Armed Conflict, Report of the Secretary General</w:t>
      </w:r>
      <w:r>
        <w:rPr>
          <w:sz w:val="16"/>
          <w:szCs w:val="16"/>
        </w:rPr>
        <w:t>, 15 May 2013</w:t>
      </w:r>
    </w:p>
  </w:footnote>
  <w:footnote w:id="59">
    <w:p w:rsidR="00A12D55" w:rsidRPr="0016387D" w:rsidRDefault="00A12D55">
      <w:pPr>
        <w:pStyle w:val="FootnoteText"/>
        <w:rPr>
          <w:lang w:val="en-US"/>
        </w:rPr>
      </w:pPr>
      <w:r w:rsidRPr="0016387D">
        <w:rPr>
          <w:rStyle w:val="FootnoteReference"/>
          <w:sz w:val="16"/>
          <w:szCs w:val="16"/>
        </w:rPr>
        <w:footnoteRef/>
      </w:r>
      <w:r>
        <w:t xml:space="preserve"> </w:t>
      </w:r>
      <w:r w:rsidRPr="009B1FCA">
        <w:rPr>
          <w:sz w:val="16"/>
          <w:szCs w:val="16"/>
        </w:rPr>
        <w:t>UN</w:t>
      </w:r>
      <w:r>
        <w:rPr>
          <w:sz w:val="16"/>
          <w:szCs w:val="16"/>
        </w:rPr>
        <w:t xml:space="preserve"> General Assembly Security Council</w:t>
      </w:r>
      <w:r w:rsidRPr="009B1FCA">
        <w:rPr>
          <w:sz w:val="16"/>
          <w:szCs w:val="16"/>
        </w:rPr>
        <w:t xml:space="preserve">, </w:t>
      </w:r>
      <w:r>
        <w:rPr>
          <w:sz w:val="16"/>
          <w:szCs w:val="16"/>
        </w:rPr>
        <w:t>67</w:t>
      </w:r>
      <w:r w:rsidRPr="009B1FCA">
        <w:rPr>
          <w:sz w:val="16"/>
          <w:szCs w:val="16"/>
          <w:vertAlign w:val="superscript"/>
        </w:rPr>
        <w:t>th</w:t>
      </w:r>
      <w:r>
        <w:rPr>
          <w:sz w:val="16"/>
          <w:szCs w:val="16"/>
        </w:rPr>
        <w:t xml:space="preserve"> Session, </w:t>
      </w:r>
      <w:r w:rsidRPr="0016387D">
        <w:rPr>
          <w:i/>
          <w:iCs/>
          <w:sz w:val="16"/>
          <w:szCs w:val="16"/>
        </w:rPr>
        <w:t>Children and Armed Conflict, Report of the Secretary General</w:t>
      </w:r>
      <w:r>
        <w:rPr>
          <w:sz w:val="16"/>
          <w:szCs w:val="16"/>
        </w:rPr>
        <w:t>, 15 May 2013</w:t>
      </w:r>
    </w:p>
  </w:footnote>
  <w:footnote w:id="60">
    <w:p w:rsidR="00A12D55" w:rsidRPr="002F7320" w:rsidRDefault="00A12D55" w:rsidP="00226501">
      <w:pPr>
        <w:pStyle w:val="FootnoteText"/>
        <w:rPr>
          <w:i/>
          <w:iCs/>
          <w:sz w:val="16"/>
          <w:szCs w:val="16"/>
          <w:lang w:val="en-US"/>
        </w:rPr>
      </w:pPr>
      <w:r w:rsidRPr="00711213">
        <w:rPr>
          <w:rStyle w:val="FootnoteReference"/>
          <w:i/>
          <w:iCs/>
          <w:sz w:val="16"/>
          <w:szCs w:val="16"/>
        </w:rPr>
        <w:footnoteRef/>
      </w:r>
      <w:r w:rsidRPr="002F7320">
        <w:rPr>
          <w:i/>
          <w:iCs/>
          <w:sz w:val="16"/>
          <w:szCs w:val="16"/>
          <w:lang w:val="en-US"/>
        </w:rPr>
        <w:t xml:space="preserve"> Ibid</w:t>
      </w:r>
    </w:p>
  </w:footnote>
  <w:footnote w:id="61">
    <w:p w:rsidR="00A12D55" w:rsidRPr="002F7320" w:rsidRDefault="00A12D55" w:rsidP="002F7320">
      <w:pPr>
        <w:pStyle w:val="FootnoteText"/>
        <w:rPr>
          <w:i/>
          <w:iCs/>
          <w:sz w:val="16"/>
          <w:szCs w:val="16"/>
          <w:lang w:val="en-US"/>
        </w:rPr>
      </w:pPr>
      <w:r w:rsidRPr="00711213">
        <w:rPr>
          <w:rStyle w:val="FootnoteReference"/>
          <w:i/>
          <w:iCs/>
          <w:sz w:val="16"/>
          <w:szCs w:val="16"/>
        </w:rPr>
        <w:footnoteRef/>
      </w:r>
      <w:r w:rsidRPr="002F7320">
        <w:rPr>
          <w:i/>
          <w:iCs/>
          <w:sz w:val="16"/>
          <w:szCs w:val="16"/>
          <w:lang w:val="en-US"/>
        </w:rPr>
        <w:t xml:space="preserve"> </w:t>
      </w:r>
      <w:r w:rsidRPr="002F7320">
        <w:rPr>
          <w:rFonts w:cs="Arial"/>
          <w:i/>
          <w:iCs/>
          <w:sz w:val="16"/>
          <w:szCs w:val="16"/>
          <w:lang w:val="en-US"/>
        </w:rPr>
        <w:t xml:space="preserve">ACAPS, Regional Analysis of Syria, 30 April 2013 </w:t>
      </w:r>
    </w:p>
  </w:footnote>
  <w:footnote w:id="62">
    <w:p w:rsidR="00A12D55" w:rsidRPr="00D31D6C" w:rsidRDefault="00A12D55" w:rsidP="002F7320">
      <w:pPr>
        <w:autoSpaceDE w:val="0"/>
        <w:autoSpaceDN w:val="0"/>
        <w:adjustRightInd w:val="0"/>
        <w:spacing w:after="0" w:line="240" w:lineRule="auto"/>
        <w:rPr>
          <w:rFonts w:cs="TimesNewRomanPS-BoldMT"/>
          <w:i/>
          <w:iCs/>
          <w:sz w:val="16"/>
          <w:szCs w:val="16"/>
          <w:lang w:val="en-US"/>
        </w:rPr>
      </w:pPr>
      <w:r w:rsidRPr="00711213">
        <w:rPr>
          <w:rStyle w:val="FootnoteReference"/>
          <w:i/>
          <w:iCs/>
          <w:sz w:val="16"/>
          <w:szCs w:val="16"/>
        </w:rPr>
        <w:footnoteRef/>
      </w:r>
      <w:r w:rsidRPr="00711213">
        <w:rPr>
          <w:i/>
          <w:iCs/>
          <w:sz w:val="16"/>
          <w:szCs w:val="16"/>
        </w:rPr>
        <w:t xml:space="preserve"> </w:t>
      </w:r>
      <w:r w:rsidRPr="00D31D6C">
        <w:rPr>
          <w:rFonts w:cs="TimesNewRomanPS-BoldMT"/>
          <w:sz w:val="16"/>
          <w:szCs w:val="16"/>
          <w:lang w:val="en-US"/>
        </w:rPr>
        <w:t xml:space="preserve">Human Rights Council, </w:t>
      </w:r>
      <w:r>
        <w:rPr>
          <w:rFonts w:cs="TimesNewRomanPS-BoldMT"/>
          <w:sz w:val="16"/>
          <w:szCs w:val="16"/>
          <w:lang w:val="en-US"/>
        </w:rPr>
        <w:t>22</w:t>
      </w:r>
      <w:r w:rsidRPr="002F7320">
        <w:rPr>
          <w:rFonts w:cs="TimesNewRomanPS-BoldMT"/>
          <w:sz w:val="16"/>
          <w:szCs w:val="16"/>
          <w:vertAlign w:val="superscript"/>
          <w:lang w:val="en-US"/>
        </w:rPr>
        <w:t>rd</w:t>
      </w:r>
      <w:r>
        <w:rPr>
          <w:rFonts w:cs="TimesNewRomanPS-BoldMT"/>
          <w:sz w:val="16"/>
          <w:szCs w:val="16"/>
          <w:lang w:val="en-US"/>
        </w:rPr>
        <w:t xml:space="preserve"> Session, </w:t>
      </w:r>
      <w:r w:rsidRPr="00D31D6C">
        <w:rPr>
          <w:rFonts w:cs="TimesNewRomanPS-BoldMT"/>
          <w:i/>
          <w:iCs/>
          <w:sz w:val="16"/>
          <w:szCs w:val="16"/>
          <w:lang w:val="en-US"/>
        </w:rPr>
        <w:t>Report of the Independent International Commission of Inquiry on the Syrian Arab</w:t>
      </w:r>
    </w:p>
    <w:p w:rsidR="00A12D55" w:rsidRPr="00711213" w:rsidRDefault="00A12D55" w:rsidP="002F7320">
      <w:pPr>
        <w:pStyle w:val="FootnoteText"/>
        <w:rPr>
          <w:i/>
          <w:iCs/>
          <w:sz w:val="16"/>
          <w:szCs w:val="16"/>
        </w:rPr>
      </w:pPr>
      <w:r w:rsidRPr="00D31D6C">
        <w:rPr>
          <w:rFonts w:cs="TimesNewRomanPS-BoldMT"/>
          <w:i/>
          <w:iCs/>
          <w:sz w:val="16"/>
          <w:szCs w:val="16"/>
          <w:lang w:val="en-US"/>
        </w:rPr>
        <w:t>Republic</w:t>
      </w:r>
      <w:r w:rsidRPr="00D31D6C">
        <w:rPr>
          <w:rFonts w:cs="TimesNewRomanPS-BoldMT"/>
          <w:sz w:val="16"/>
          <w:szCs w:val="16"/>
          <w:lang w:val="en-US"/>
        </w:rPr>
        <w:t xml:space="preserve">, </w:t>
      </w:r>
      <w:r>
        <w:rPr>
          <w:rFonts w:cs="TimesNewRomanPS-BoldMT"/>
          <w:sz w:val="16"/>
          <w:szCs w:val="16"/>
          <w:lang w:val="en-US"/>
        </w:rPr>
        <w:t>February 2013</w:t>
      </w:r>
    </w:p>
  </w:footnote>
  <w:footnote w:id="63">
    <w:p w:rsidR="00A12D55" w:rsidRPr="001E35C3" w:rsidRDefault="00A12D55">
      <w:pPr>
        <w:pStyle w:val="FootnoteText"/>
        <w:rPr>
          <w:sz w:val="16"/>
          <w:szCs w:val="16"/>
        </w:rPr>
      </w:pPr>
      <w:r w:rsidRPr="001E35C3">
        <w:rPr>
          <w:rStyle w:val="FootnoteReference"/>
          <w:sz w:val="16"/>
          <w:szCs w:val="16"/>
        </w:rPr>
        <w:footnoteRef/>
      </w:r>
      <w:r w:rsidRPr="001E35C3">
        <w:rPr>
          <w:sz w:val="16"/>
          <w:szCs w:val="16"/>
        </w:rPr>
        <w:t xml:space="preserve"> Human Rights Council, Session 23</w:t>
      </w:r>
      <w:r w:rsidRPr="002272AE">
        <w:rPr>
          <w:i/>
          <w:iCs/>
          <w:sz w:val="16"/>
          <w:szCs w:val="16"/>
        </w:rPr>
        <w:t xml:space="preserve">, Report of the Independent International Commission of Inquiry on the Syrian Arab, </w:t>
      </w:r>
      <w:r w:rsidRPr="001E35C3">
        <w:rPr>
          <w:sz w:val="16"/>
          <w:szCs w:val="16"/>
        </w:rPr>
        <w:t>June 2013</w:t>
      </w:r>
    </w:p>
  </w:footnote>
  <w:footnote w:id="64">
    <w:p w:rsidR="00A12D55" w:rsidRPr="002F7320" w:rsidRDefault="00A12D55">
      <w:pPr>
        <w:pStyle w:val="FootnoteText"/>
        <w:rPr>
          <w:highlight w:val="yellow"/>
        </w:rPr>
      </w:pPr>
      <w:r w:rsidRPr="001E35C3">
        <w:rPr>
          <w:rStyle w:val="FootnoteReference"/>
          <w:sz w:val="16"/>
          <w:szCs w:val="16"/>
        </w:rPr>
        <w:footnoteRef/>
      </w:r>
      <w:r w:rsidRPr="001E35C3">
        <w:rPr>
          <w:sz w:val="16"/>
          <w:szCs w:val="16"/>
        </w:rPr>
        <w:t xml:space="preserve"> </w:t>
      </w:r>
      <w:r w:rsidRPr="001E35C3">
        <w:rPr>
          <w:rFonts w:cs="Arial"/>
          <w:color w:val="000000" w:themeColor="text1"/>
          <w:sz w:val="16"/>
          <w:szCs w:val="16"/>
        </w:rPr>
        <w:t>UNICEF,</w:t>
      </w:r>
      <w:r w:rsidRPr="001E35C3">
        <w:rPr>
          <w:rFonts w:cs="Arial"/>
          <w:i/>
          <w:iCs/>
          <w:color w:val="000000" w:themeColor="text1"/>
          <w:sz w:val="16"/>
          <w:szCs w:val="16"/>
        </w:rPr>
        <w:t xml:space="preserve"> Situation Analysis of Children Living in Syria: Executive Summary, </w:t>
      </w:r>
      <w:r w:rsidRPr="001E35C3">
        <w:rPr>
          <w:rFonts w:cs="Arial"/>
          <w:color w:val="000000" w:themeColor="text1"/>
          <w:sz w:val="16"/>
          <w:szCs w:val="16"/>
        </w:rPr>
        <w:t>2009</w:t>
      </w:r>
    </w:p>
  </w:footnote>
  <w:footnote w:id="65">
    <w:p w:rsidR="00A12D55" w:rsidRPr="00711213" w:rsidRDefault="00A12D55" w:rsidP="001E35C3">
      <w:pPr>
        <w:pStyle w:val="FootnoteText"/>
        <w:jc w:val="both"/>
        <w:rPr>
          <w:rFonts w:cs="Arial"/>
          <w:i/>
          <w:color w:val="000000" w:themeColor="text1"/>
          <w:sz w:val="16"/>
          <w:szCs w:val="16"/>
        </w:rPr>
      </w:pPr>
      <w:r w:rsidRPr="001E35C3">
        <w:rPr>
          <w:rStyle w:val="FootnoteReference"/>
          <w:rFonts w:cs="Arial"/>
          <w:i/>
          <w:color w:val="000000" w:themeColor="text1"/>
          <w:sz w:val="16"/>
          <w:szCs w:val="16"/>
        </w:rPr>
        <w:footnoteRef/>
      </w:r>
      <w:r w:rsidRPr="001E35C3">
        <w:rPr>
          <w:rFonts w:cs="Arial"/>
          <w:i/>
          <w:color w:val="000000" w:themeColor="text1"/>
          <w:sz w:val="16"/>
          <w:szCs w:val="16"/>
        </w:rPr>
        <w:t xml:space="preserve"> Ibid</w:t>
      </w:r>
    </w:p>
  </w:footnote>
  <w:footnote w:id="66">
    <w:p w:rsidR="00A12D55" w:rsidRPr="00711213" w:rsidRDefault="00A12D55" w:rsidP="007D02E2">
      <w:pPr>
        <w:autoSpaceDE w:val="0"/>
        <w:autoSpaceDN w:val="0"/>
        <w:adjustRightInd w:val="0"/>
        <w:spacing w:after="0" w:line="240" w:lineRule="auto"/>
        <w:jc w:val="both"/>
        <w:rPr>
          <w:rFonts w:cs="Arial"/>
          <w:i/>
          <w:color w:val="000000" w:themeColor="text1"/>
          <w:sz w:val="16"/>
          <w:szCs w:val="16"/>
          <w:lang w:val="en-US"/>
        </w:rPr>
      </w:pPr>
      <w:r w:rsidRPr="001E35C3">
        <w:rPr>
          <w:rStyle w:val="FootnoteReference"/>
          <w:rFonts w:cs="Arial"/>
          <w:i/>
          <w:color w:val="000000" w:themeColor="text1"/>
          <w:sz w:val="16"/>
          <w:szCs w:val="16"/>
        </w:rPr>
        <w:footnoteRef/>
      </w:r>
      <w:r w:rsidRPr="001E35C3">
        <w:rPr>
          <w:rFonts w:cs="Arial"/>
          <w:i/>
          <w:color w:val="000000" w:themeColor="text1"/>
          <w:sz w:val="16"/>
          <w:szCs w:val="16"/>
        </w:rPr>
        <w:t xml:space="preserve"> </w:t>
      </w:r>
      <w:r w:rsidRPr="001E35C3">
        <w:rPr>
          <w:rFonts w:cs="Arial"/>
          <w:sz w:val="16"/>
          <w:szCs w:val="16"/>
        </w:rPr>
        <w:t>H</w:t>
      </w:r>
      <w:r w:rsidRPr="004845B1">
        <w:rPr>
          <w:rFonts w:cs="Arial"/>
          <w:sz w:val="16"/>
          <w:szCs w:val="16"/>
        </w:rPr>
        <w:t>uman Rights Council,</w:t>
      </w:r>
      <w:r w:rsidRPr="004845B1">
        <w:rPr>
          <w:rFonts w:cs="Arial"/>
          <w:i/>
          <w:iCs/>
          <w:sz w:val="16"/>
          <w:szCs w:val="16"/>
        </w:rPr>
        <w:t xml:space="preserve"> ‘Report of  the Special Rapporteur on the Right to Food, Olivier De </w:t>
      </w:r>
      <w:proofErr w:type="spellStart"/>
      <w:r w:rsidRPr="004845B1">
        <w:rPr>
          <w:rFonts w:cs="Arial"/>
          <w:i/>
          <w:iCs/>
          <w:sz w:val="16"/>
          <w:szCs w:val="16"/>
        </w:rPr>
        <w:t>Schutter</w:t>
      </w:r>
      <w:proofErr w:type="spellEnd"/>
      <w:r w:rsidRPr="004845B1">
        <w:rPr>
          <w:rFonts w:cs="Arial"/>
          <w:i/>
          <w:iCs/>
          <w:sz w:val="16"/>
          <w:szCs w:val="16"/>
        </w:rPr>
        <w:t xml:space="preserve"> Addendum Mission to the Syrian Arab Republic’, A/HRC/16/49/Add.2, </w:t>
      </w:r>
      <w:r w:rsidRPr="004845B1">
        <w:rPr>
          <w:rFonts w:cs="Arial"/>
          <w:sz w:val="16"/>
          <w:szCs w:val="16"/>
        </w:rPr>
        <w:t>27 January 2011</w:t>
      </w:r>
    </w:p>
  </w:footnote>
  <w:footnote w:id="67">
    <w:p w:rsidR="00A12D55" w:rsidRPr="00EB327A" w:rsidRDefault="00A12D55">
      <w:pPr>
        <w:pStyle w:val="FootnoteText"/>
      </w:pPr>
      <w:r>
        <w:rPr>
          <w:rStyle w:val="FootnoteReference"/>
        </w:rPr>
        <w:footnoteRef/>
      </w:r>
      <w:r>
        <w:t xml:space="preserve"> </w:t>
      </w:r>
      <w:r w:rsidRPr="00EB327A">
        <w:rPr>
          <w:sz w:val="16"/>
          <w:szCs w:val="16"/>
        </w:rPr>
        <w:t xml:space="preserve">United States Department of State, </w:t>
      </w:r>
      <w:r w:rsidRPr="00EB327A">
        <w:rPr>
          <w:i/>
          <w:iCs/>
          <w:sz w:val="16"/>
          <w:szCs w:val="16"/>
        </w:rPr>
        <w:t>2012 Trafficking in Persons Report - Syria</w:t>
      </w:r>
      <w:r w:rsidRPr="00EB327A">
        <w:rPr>
          <w:sz w:val="16"/>
          <w:szCs w:val="16"/>
        </w:rPr>
        <w:t>, 19 June 2012</w:t>
      </w:r>
    </w:p>
  </w:footnote>
  <w:footnote w:id="68">
    <w:p w:rsidR="00A12D55" w:rsidRPr="002F7320" w:rsidRDefault="00A12D55" w:rsidP="007D02E2">
      <w:pPr>
        <w:autoSpaceDE w:val="0"/>
        <w:autoSpaceDN w:val="0"/>
        <w:adjustRightInd w:val="0"/>
        <w:spacing w:after="0" w:line="240" w:lineRule="auto"/>
        <w:rPr>
          <w:rFonts w:cs="Times New Roman"/>
          <w:sz w:val="16"/>
          <w:szCs w:val="16"/>
        </w:rPr>
      </w:pPr>
      <w:r w:rsidRPr="002F7320">
        <w:rPr>
          <w:rStyle w:val="FootnoteReference"/>
          <w:sz w:val="16"/>
          <w:szCs w:val="16"/>
        </w:rPr>
        <w:footnoteRef/>
      </w:r>
      <w:r w:rsidRPr="002F7320">
        <w:rPr>
          <w:sz w:val="16"/>
          <w:szCs w:val="16"/>
        </w:rPr>
        <w:t xml:space="preserve"> </w:t>
      </w:r>
      <w:r w:rsidRPr="00D31D6C">
        <w:rPr>
          <w:rFonts w:cs="TimesNewRomanPS-BoldMT"/>
          <w:sz w:val="16"/>
          <w:szCs w:val="16"/>
          <w:lang w:val="en-US"/>
        </w:rPr>
        <w:t xml:space="preserve">UNICEF &amp; SCFA , </w:t>
      </w:r>
      <w:r w:rsidRPr="00D31D6C">
        <w:rPr>
          <w:rFonts w:cs="TimesNewRomanPS-BoldMT"/>
          <w:i/>
          <w:iCs/>
          <w:sz w:val="16"/>
          <w:szCs w:val="16"/>
          <w:lang w:val="en-US"/>
        </w:rPr>
        <w:t>Situation Analysis of Childhood Status in Syria</w:t>
      </w:r>
      <w:r w:rsidRPr="00D31D6C">
        <w:rPr>
          <w:rFonts w:cs="TimesNewRomanPS-BoldMT"/>
          <w:sz w:val="16"/>
          <w:szCs w:val="16"/>
          <w:lang w:val="en-US"/>
        </w:rPr>
        <w:t>, 2008</w:t>
      </w:r>
    </w:p>
  </w:footnote>
  <w:footnote w:id="69">
    <w:p w:rsidR="00A12D55" w:rsidRPr="00711213" w:rsidRDefault="00A12D55" w:rsidP="006278CF">
      <w:pPr>
        <w:pStyle w:val="FootnoteText"/>
        <w:jc w:val="both"/>
        <w:rPr>
          <w:i/>
          <w:sz w:val="16"/>
          <w:szCs w:val="16"/>
        </w:rPr>
      </w:pPr>
      <w:r w:rsidRPr="00711213">
        <w:rPr>
          <w:rStyle w:val="FootnoteReference"/>
          <w:i/>
          <w:sz w:val="16"/>
          <w:szCs w:val="16"/>
        </w:rPr>
        <w:footnoteRef/>
      </w:r>
      <w:r w:rsidRPr="00711213">
        <w:rPr>
          <w:i/>
          <w:sz w:val="16"/>
          <w:szCs w:val="16"/>
        </w:rPr>
        <w:t xml:space="preserve"> </w:t>
      </w:r>
      <w:r w:rsidRPr="006278CF">
        <w:rPr>
          <w:iCs/>
          <w:sz w:val="16"/>
          <w:szCs w:val="16"/>
        </w:rPr>
        <w:t>SCFA,</w:t>
      </w:r>
      <w:r>
        <w:rPr>
          <w:i/>
          <w:sz w:val="16"/>
          <w:szCs w:val="16"/>
        </w:rPr>
        <w:t xml:space="preserve"> Statement on Meeting CRC Consideration of the initial country report on the implementation of optional protocol to CRC on sale of children, child prostitution and child pornography</w:t>
      </w:r>
    </w:p>
  </w:footnote>
  <w:footnote w:id="70">
    <w:p w:rsidR="00A12D55" w:rsidRPr="00EB327A" w:rsidRDefault="00A12D55">
      <w:pPr>
        <w:pStyle w:val="FootnoteText"/>
      </w:pPr>
      <w:r>
        <w:rPr>
          <w:rStyle w:val="FootnoteReference"/>
        </w:rPr>
        <w:footnoteRef/>
      </w:r>
      <w:r>
        <w:t xml:space="preserve"> </w:t>
      </w:r>
      <w:r w:rsidRPr="00EB327A">
        <w:rPr>
          <w:sz w:val="16"/>
          <w:szCs w:val="16"/>
        </w:rPr>
        <w:t>Ibid</w:t>
      </w:r>
    </w:p>
  </w:footnote>
  <w:footnote w:id="71">
    <w:p w:rsidR="00A12D55" w:rsidRPr="00711213" w:rsidRDefault="00A12D55" w:rsidP="00A046B4">
      <w:pPr>
        <w:pStyle w:val="FootnoteText"/>
        <w:rPr>
          <w:i/>
          <w:sz w:val="16"/>
          <w:szCs w:val="16"/>
        </w:rPr>
      </w:pPr>
      <w:r w:rsidRPr="00711213">
        <w:rPr>
          <w:rStyle w:val="FootnoteReference"/>
          <w:i/>
          <w:sz w:val="16"/>
          <w:szCs w:val="16"/>
        </w:rPr>
        <w:footnoteRef/>
      </w:r>
      <w:r w:rsidRPr="00711213">
        <w:rPr>
          <w:i/>
          <w:sz w:val="16"/>
          <w:szCs w:val="16"/>
        </w:rPr>
        <w:t xml:space="preserve"> </w:t>
      </w:r>
      <w:r w:rsidRPr="000A1895">
        <w:rPr>
          <w:rFonts w:cs="Times New Roman"/>
          <w:sz w:val="16"/>
          <w:szCs w:val="16"/>
        </w:rPr>
        <w:t xml:space="preserve">Assessment Working Group for North Syria, </w:t>
      </w:r>
      <w:r w:rsidRPr="000A1895">
        <w:rPr>
          <w:rFonts w:cs="Times New Roman"/>
          <w:i/>
          <w:iCs/>
          <w:sz w:val="16"/>
          <w:szCs w:val="16"/>
        </w:rPr>
        <w:t>Joint Rapid Needs Assessment of Syria II Final Report</w:t>
      </w:r>
      <w:r w:rsidRPr="000A1895">
        <w:rPr>
          <w:rFonts w:cs="Times New Roman"/>
          <w:sz w:val="16"/>
          <w:szCs w:val="16"/>
        </w:rPr>
        <w:t>, 22 May 2013</w:t>
      </w:r>
    </w:p>
  </w:footnote>
  <w:footnote w:id="72">
    <w:p w:rsidR="00A12D55" w:rsidRPr="00D31D6C" w:rsidRDefault="00A12D55" w:rsidP="00F97D5B">
      <w:pPr>
        <w:autoSpaceDE w:val="0"/>
        <w:autoSpaceDN w:val="0"/>
        <w:adjustRightInd w:val="0"/>
        <w:spacing w:after="0" w:line="240" w:lineRule="auto"/>
        <w:rPr>
          <w:rFonts w:cs="TimesNewRomanPS-BoldMT"/>
          <w:i/>
          <w:iCs/>
          <w:sz w:val="16"/>
          <w:szCs w:val="16"/>
          <w:lang w:val="en-US"/>
        </w:rPr>
      </w:pPr>
      <w:r w:rsidRPr="00711213">
        <w:rPr>
          <w:rStyle w:val="FootnoteReference"/>
          <w:i/>
          <w:sz w:val="16"/>
          <w:szCs w:val="16"/>
        </w:rPr>
        <w:footnoteRef/>
      </w:r>
      <w:r w:rsidRPr="00711213">
        <w:rPr>
          <w:i/>
          <w:sz w:val="16"/>
          <w:szCs w:val="16"/>
        </w:rPr>
        <w:t xml:space="preserve"> </w:t>
      </w:r>
      <w:r w:rsidRPr="00D31D6C">
        <w:rPr>
          <w:rFonts w:cs="TimesNewRomanPS-BoldMT"/>
          <w:sz w:val="16"/>
          <w:szCs w:val="16"/>
          <w:lang w:val="en-US"/>
        </w:rPr>
        <w:t xml:space="preserve">Human Rights Council, </w:t>
      </w:r>
      <w:r>
        <w:rPr>
          <w:rFonts w:cs="TimesNewRomanPS-BoldMT"/>
          <w:sz w:val="16"/>
          <w:szCs w:val="16"/>
          <w:lang w:val="en-US"/>
        </w:rPr>
        <w:t>22</w:t>
      </w:r>
      <w:r w:rsidRPr="002F7320">
        <w:rPr>
          <w:rFonts w:cs="TimesNewRomanPS-BoldMT"/>
          <w:sz w:val="16"/>
          <w:szCs w:val="16"/>
          <w:vertAlign w:val="superscript"/>
          <w:lang w:val="en-US"/>
        </w:rPr>
        <w:t>nd</w:t>
      </w:r>
      <w:r>
        <w:rPr>
          <w:rFonts w:cs="TimesNewRomanPS-BoldMT"/>
          <w:sz w:val="16"/>
          <w:szCs w:val="16"/>
          <w:lang w:val="en-US"/>
        </w:rPr>
        <w:t xml:space="preserve"> Session, </w:t>
      </w:r>
      <w:r w:rsidRPr="00D31D6C">
        <w:rPr>
          <w:rFonts w:cs="TimesNewRomanPS-BoldMT"/>
          <w:i/>
          <w:iCs/>
          <w:sz w:val="16"/>
          <w:szCs w:val="16"/>
          <w:lang w:val="en-US"/>
        </w:rPr>
        <w:t>Report of the Independent International Commission of Inquiry on the Syrian Arab</w:t>
      </w:r>
    </w:p>
    <w:p w:rsidR="00A12D55" w:rsidRPr="00111F99" w:rsidRDefault="00A12D55" w:rsidP="00F97D5B">
      <w:pPr>
        <w:pStyle w:val="FootnoteText"/>
        <w:rPr>
          <w:lang w:val="en-US"/>
        </w:rPr>
      </w:pPr>
      <w:r w:rsidRPr="00D31D6C">
        <w:rPr>
          <w:rFonts w:cs="TimesNewRomanPS-BoldMT"/>
          <w:i/>
          <w:iCs/>
          <w:sz w:val="16"/>
          <w:szCs w:val="16"/>
          <w:lang w:val="en-US"/>
        </w:rPr>
        <w:t>Republic</w:t>
      </w:r>
      <w:r>
        <w:rPr>
          <w:rFonts w:cs="TimesNewRomanPS-BoldMT"/>
          <w:i/>
          <w:iCs/>
          <w:sz w:val="16"/>
          <w:szCs w:val="16"/>
          <w:lang w:val="en-US"/>
        </w:rPr>
        <w:t>, February 2013</w:t>
      </w:r>
    </w:p>
  </w:footnote>
  <w:footnote w:id="73">
    <w:p w:rsidR="00A12D55" w:rsidRPr="0016387D" w:rsidRDefault="00A12D55" w:rsidP="007F5FAC">
      <w:pPr>
        <w:pStyle w:val="FootnoteText"/>
        <w:rPr>
          <w:lang w:val="en-US"/>
        </w:rPr>
      </w:pPr>
      <w:r w:rsidRPr="009B1FCA">
        <w:rPr>
          <w:rStyle w:val="FootnoteReference"/>
          <w:sz w:val="16"/>
          <w:szCs w:val="16"/>
        </w:rPr>
        <w:footnoteRef/>
      </w:r>
      <w:r>
        <w:t xml:space="preserve"> </w:t>
      </w:r>
      <w:r w:rsidRPr="009B1FCA">
        <w:rPr>
          <w:sz w:val="16"/>
          <w:szCs w:val="16"/>
        </w:rPr>
        <w:t>UN</w:t>
      </w:r>
      <w:r>
        <w:rPr>
          <w:sz w:val="16"/>
          <w:szCs w:val="16"/>
        </w:rPr>
        <w:t xml:space="preserve"> General Assembly Security Council</w:t>
      </w:r>
      <w:r w:rsidRPr="009B1FCA">
        <w:rPr>
          <w:sz w:val="16"/>
          <w:szCs w:val="16"/>
        </w:rPr>
        <w:t xml:space="preserve">, </w:t>
      </w:r>
      <w:r>
        <w:rPr>
          <w:sz w:val="16"/>
          <w:szCs w:val="16"/>
        </w:rPr>
        <w:t>67</w:t>
      </w:r>
      <w:r w:rsidRPr="009B1FCA">
        <w:rPr>
          <w:sz w:val="16"/>
          <w:szCs w:val="16"/>
          <w:vertAlign w:val="superscript"/>
        </w:rPr>
        <w:t>th</w:t>
      </w:r>
      <w:r>
        <w:rPr>
          <w:sz w:val="16"/>
          <w:szCs w:val="16"/>
        </w:rPr>
        <w:t xml:space="preserve"> Session, </w:t>
      </w:r>
      <w:r w:rsidRPr="009B1FCA">
        <w:rPr>
          <w:i/>
          <w:iCs/>
          <w:sz w:val="16"/>
          <w:szCs w:val="16"/>
        </w:rPr>
        <w:t>Children and Armed Conflict, Report of the Secretary General</w:t>
      </w:r>
      <w:r>
        <w:rPr>
          <w:sz w:val="16"/>
          <w:szCs w:val="16"/>
        </w:rPr>
        <w:t>, 15 May 2013</w:t>
      </w:r>
    </w:p>
  </w:footnote>
  <w:footnote w:id="74">
    <w:p w:rsidR="00A12D55" w:rsidRPr="006278CF" w:rsidRDefault="00A12D55">
      <w:pPr>
        <w:pStyle w:val="FootnoteText"/>
      </w:pPr>
      <w:r w:rsidRPr="006278CF">
        <w:rPr>
          <w:rStyle w:val="FootnoteReference"/>
          <w:sz w:val="18"/>
          <w:szCs w:val="18"/>
        </w:rPr>
        <w:footnoteRef/>
      </w:r>
      <w:r>
        <w:t xml:space="preserve"> </w:t>
      </w:r>
      <w:r w:rsidRPr="004053B1">
        <w:rPr>
          <w:i/>
          <w:iCs/>
          <w:sz w:val="16"/>
          <w:szCs w:val="16"/>
        </w:rPr>
        <w:t>Human Rights Council, 2</w:t>
      </w:r>
      <w:r>
        <w:rPr>
          <w:i/>
          <w:iCs/>
          <w:sz w:val="16"/>
          <w:szCs w:val="16"/>
        </w:rPr>
        <w:t>1</w:t>
      </w:r>
      <w:r w:rsidRPr="004053B1">
        <w:rPr>
          <w:i/>
          <w:iCs/>
          <w:sz w:val="16"/>
          <w:szCs w:val="16"/>
          <w:vertAlign w:val="superscript"/>
        </w:rPr>
        <w:t>rd</w:t>
      </w:r>
      <w:r w:rsidRPr="004053B1">
        <w:rPr>
          <w:i/>
          <w:iCs/>
          <w:sz w:val="16"/>
          <w:szCs w:val="16"/>
        </w:rPr>
        <w:t xml:space="preserve"> Session, Report of the Independent International Commission of Inquiry on the Syrian Arab,</w:t>
      </w:r>
      <w:r w:rsidRPr="004053B1">
        <w:rPr>
          <w:sz w:val="16"/>
          <w:szCs w:val="16"/>
        </w:rPr>
        <w:t xml:space="preserve"> </w:t>
      </w:r>
      <w:r>
        <w:rPr>
          <w:sz w:val="16"/>
          <w:szCs w:val="16"/>
        </w:rPr>
        <w:t>August 2012</w:t>
      </w:r>
    </w:p>
  </w:footnote>
  <w:footnote w:id="75">
    <w:p w:rsidR="00A12D55" w:rsidRPr="00D108A0" w:rsidRDefault="00A12D55" w:rsidP="006278CF">
      <w:pPr>
        <w:pStyle w:val="FootnoteText"/>
        <w:rPr>
          <w:sz w:val="16"/>
          <w:szCs w:val="16"/>
        </w:rPr>
      </w:pPr>
      <w:r w:rsidRPr="00D108A0">
        <w:rPr>
          <w:rStyle w:val="FootnoteReference"/>
          <w:sz w:val="16"/>
          <w:szCs w:val="16"/>
        </w:rPr>
        <w:footnoteRef/>
      </w:r>
      <w:r w:rsidRPr="00D108A0">
        <w:rPr>
          <w:sz w:val="16"/>
          <w:szCs w:val="16"/>
        </w:rPr>
        <w:t xml:space="preserve"> </w:t>
      </w:r>
      <w:r>
        <w:rPr>
          <w:i/>
          <w:iCs/>
          <w:sz w:val="16"/>
          <w:szCs w:val="16"/>
        </w:rPr>
        <w:t>Ibid</w:t>
      </w:r>
    </w:p>
  </w:footnote>
  <w:footnote w:id="76">
    <w:p w:rsidR="00A12D55" w:rsidRPr="004053B1" w:rsidRDefault="00A12D55" w:rsidP="005F3EF7">
      <w:pPr>
        <w:pStyle w:val="FootnoteText"/>
        <w:rPr>
          <w:i/>
          <w:iCs/>
          <w:sz w:val="16"/>
          <w:szCs w:val="16"/>
        </w:rPr>
      </w:pPr>
      <w:r w:rsidRPr="004053B1">
        <w:rPr>
          <w:rStyle w:val="FootnoteReference"/>
          <w:i/>
          <w:iCs/>
          <w:sz w:val="16"/>
          <w:szCs w:val="16"/>
        </w:rPr>
        <w:footnoteRef/>
      </w:r>
      <w:r w:rsidRPr="004053B1">
        <w:rPr>
          <w:i/>
          <w:iCs/>
          <w:sz w:val="16"/>
          <w:szCs w:val="16"/>
        </w:rPr>
        <w:t xml:space="preserve"> Human Rights Council, 23</w:t>
      </w:r>
      <w:r w:rsidRPr="004053B1">
        <w:rPr>
          <w:i/>
          <w:iCs/>
          <w:sz w:val="16"/>
          <w:szCs w:val="16"/>
          <w:vertAlign w:val="superscript"/>
        </w:rPr>
        <w:t>rd</w:t>
      </w:r>
      <w:r w:rsidRPr="004053B1">
        <w:rPr>
          <w:i/>
          <w:iCs/>
          <w:sz w:val="16"/>
          <w:szCs w:val="16"/>
        </w:rPr>
        <w:t xml:space="preserve"> Session, Report of the Independent International Commission of Inquiry on the Syrian Arab,</w:t>
      </w:r>
      <w:r w:rsidRPr="004053B1">
        <w:rPr>
          <w:sz w:val="16"/>
          <w:szCs w:val="16"/>
        </w:rPr>
        <w:t xml:space="preserve"> June 2013</w:t>
      </w:r>
    </w:p>
  </w:footnote>
  <w:footnote w:id="77">
    <w:p w:rsidR="00A12D55" w:rsidRPr="000A312D" w:rsidRDefault="00A12D55" w:rsidP="000A312D">
      <w:pPr>
        <w:pStyle w:val="FootnoteText"/>
        <w:rPr>
          <w:sz w:val="16"/>
          <w:szCs w:val="16"/>
        </w:rPr>
      </w:pPr>
      <w:r w:rsidRPr="004053B1">
        <w:rPr>
          <w:rStyle w:val="FootnoteReference"/>
          <w:sz w:val="16"/>
          <w:szCs w:val="16"/>
        </w:rPr>
        <w:footnoteRef/>
      </w:r>
      <w:r w:rsidRPr="004053B1">
        <w:rPr>
          <w:sz w:val="16"/>
          <w:szCs w:val="16"/>
        </w:rPr>
        <w:t xml:space="preserve"> Human Rights Council</w:t>
      </w:r>
      <w:r w:rsidRPr="004053B1">
        <w:rPr>
          <w:i/>
          <w:iCs/>
          <w:sz w:val="16"/>
          <w:szCs w:val="16"/>
        </w:rPr>
        <w:t>, 22</w:t>
      </w:r>
      <w:r w:rsidRPr="004053B1">
        <w:rPr>
          <w:i/>
          <w:iCs/>
          <w:sz w:val="16"/>
          <w:szCs w:val="16"/>
          <w:vertAlign w:val="superscript"/>
        </w:rPr>
        <w:t>nd</w:t>
      </w:r>
      <w:r w:rsidRPr="004053B1">
        <w:rPr>
          <w:i/>
          <w:iCs/>
          <w:sz w:val="16"/>
          <w:szCs w:val="16"/>
        </w:rPr>
        <w:t xml:space="preserve"> Session, </w:t>
      </w:r>
      <w:r w:rsidRPr="004053B1">
        <w:rPr>
          <w:sz w:val="16"/>
          <w:szCs w:val="16"/>
        </w:rPr>
        <w:t>Oral Update of the Independent International Commission of Inquiry on the Syrian Arab, March 2013</w:t>
      </w:r>
    </w:p>
  </w:footnote>
  <w:footnote w:id="78">
    <w:p w:rsidR="00A12D55" w:rsidRPr="00F8256E" w:rsidRDefault="00A12D55" w:rsidP="00F8256E">
      <w:pPr>
        <w:spacing w:after="0" w:line="240" w:lineRule="auto"/>
        <w:jc w:val="both"/>
        <w:rPr>
          <w:rFonts w:cs="Arial"/>
          <w:color w:val="000000" w:themeColor="text1"/>
          <w:sz w:val="16"/>
          <w:szCs w:val="16"/>
          <w:shd w:val="clear" w:color="auto" w:fill="FFFFFF"/>
        </w:rPr>
      </w:pPr>
      <w:r w:rsidRPr="00711213">
        <w:rPr>
          <w:rStyle w:val="FootnoteReference"/>
          <w:rFonts w:cs="Arial"/>
          <w:i/>
          <w:iCs/>
          <w:color w:val="000000" w:themeColor="text1"/>
          <w:sz w:val="16"/>
          <w:szCs w:val="16"/>
        </w:rPr>
        <w:footnoteRef/>
      </w:r>
      <w:r w:rsidRPr="00711213">
        <w:rPr>
          <w:rFonts w:cs="Arial"/>
          <w:i/>
          <w:iCs/>
          <w:color w:val="000000" w:themeColor="text1"/>
          <w:sz w:val="16"/>
          <w:szCs w:val="16"/>
          <w:lang w:val="en-US"/>
        </w:rPr>
        <w:t xml:space="preserve"> </w:t>
      </w:r>
      <w:r w:rsidRPr="00F8256E">
        <w:rPr>
          <w:rFonts w:eastAsia="Times New Roman" w:cs="Arial"/>
          <w:color w:val="000000" w:themeColor="text1"/>
          <w:spacing w:val="-15"/>
          <w:sz w:val="16"/>
          <w:szCs w:val="16"/>
          <w:lang w:val="en-US"/>
        </w:rPr>
        <w:t>Human Rights Watch</w:t>
      </w:r>
      <w:r>
        <w:rPr>
          <w:rFonts w:eastAsia="Times New Roman" w:cs="Arial"/>
          <w:i/>
          <w:iCs/>
          <w:color w:val="000000" w:themeColor="text1"/>
          <w:spacing w:val="-15"/>
          <w:sz w:val="16"/>
          <w:szCs w:val="16"/>
          <w:lang w:val="en-US"/>
        </w:rPr>
        <w:t xml:space="preserve">, Syria: Opposition using Children in Conflict,  </w:t>
      </w:r>
      <w:r w:rsidRPr="00F8256E">
        <w:rPr>
          <w:rFonts w:eastAsia="Times New Roman" w:cs="Arial"/>
          <w:color w:val="000000" w:themeColor="text1"/>
          <w:sz w:val="16"/>
          <w:szCs w:val="16"/>
          <w:lang w:val="en-US"/>
        </w:rPr>
        <w:t>29 November 2012</w:t>
      </w:r>
    </w:p>
  </w:footnote>
  <w:footnote w:id="79">
    <w:p w:rsidR="00A12D55" w:rsidRPr="00F8256E" w:rsidRDefault="00A12D55" w:rsidP="00F8256E">
      <w:pPr>
        <w:spacing w:after="0" w:line="240" w:lineRule="auto"/>
        <w:jc w:val="both"/>
        <w:rPr>
          <w:rFonts w:cs="Arial"/>
          <w:sz w:val="16"/>
          <w:szCs w:val="16"/>
          <w:shd w:val="clear" w:color="auto" w:fill="FFFFFF"/>
        </w:rPr>
      </w:pPr>
      <w:r w:rsidRPr="00711213">
        <w:rPr>
          <w:rStyle w:val="FootnoteReference"/>
          <w:rFonts w:cs="Arial"/>
          <w:i/>
          <w:iCs/>
          <w:sz w:val="16"/>
          <w:szCs w:val="16"/>
        </w:rPr>
        <w:footnoteRef/>
      </w:r>
      <w:r w:rsidRPr="00711213">
        <w:rPr>
          <w:rFonts w:cs="Arial"/>
          <w:i/>
          <w:iCs/>
          <w:sz w:val="16"/>
          <w:szCs w:val="16"/>
        </w:rPr>
        <w:t xml:space="preserve"> </w:t>
      </w:r>
      <w:r>
        <w:rPr>
          <w:rFonts w:cs="Arial"/>
          <w:i/>
          <w:iCs/>
          <w:sz w:val="16"/>
          <w:szCs w:val="16"/>
          <w:shd w:val="clear" w:color="auto" w:fill="FFFFFF"/>
        </w:rPr>
        <w:t xml:space="preserve">Human Rights Investigations, </w:t>
      </w:r>
      <w:r w:rsidRPr="00711213">
        <w:rPr>
          <w:rFonts w:eastAsia="Times New Roman" w:cs="Arial"/>
          <w:i/>
          <w:iCs/>
          <w:sz w:val="16"/>
          <w:szCs w:val="16"/>
        </w:rPr>
        <w:t>Stop the use of chil</w:t>
      </w:r>
      <w:r>
        <w:rPr>
          <w:rFonts w:eastAsia="Times New Roman" w:cs="Arial"/>
          <w:i/>
          <w:iCs/>
          <w:sz w:val="16"/>
          <w:szCs w:val="16"/>
        </w:rPr>
        <w:t xml:space="preserve">d soldiers by the Syrian rebels, </w:t>
      </w:r>
      <w:r w:rsidRPr="00F8256E">
        <w:rPr>
          <w:rFonts w:eastAsia="Times New Roman" w:cs="Arial"/>
          <w:sz w:val="16"/>
          <w:szCs w:val="16"/>
        </w:rPr>
        <w:t>10 November 2012</w:t>
      </w:r>
    </w:p>
  </w:footnote>
  <w:footnote w:id="80">
    <w:p w:rsidR="00A12D55" w:rsidRPr="00A046B4" w:rsidRDefault="00A12D55" w:rsidP="00F8256E">
      <w:pPr>
        <w:spacing w:after="0" w:line="240" w:lineRule="auto"/>
        <w:jc w:val="both"/>
        <w:outlineLvl w:val="5"/>
        <w:rPr>
          <w:rFonts w:cs="Arial"/>
          <w:i/>
          <w:color w:val="000000" w:themeColor="text1"/>
          <w:sz w:val="16"/>
          <w:szCs w:val="16"/>
          <w:lang w:val="en-US"/>
        </w:rPr>
      </w:pPr>
      <w:r w:rsidRPr="00A046B4">
        <w:rPr>
          <w:rStyle w:val="FootnoteReference"/>
          <w:rFonts w:cs="Arial"/>
          <w:i/>
          <w:iCs/>
          <w:color w:val="000000" w:themeColor="text1"/>
          <w:sz w:val="16"/>
          <w:szCs w:val="16"/>
        </w:rPr>
        <w:footnoteRef/>
      </w:r>
      <w:r w:rsidRPr="00A046B4">
        <w:rPr>
          <w:rFonts w:cs="Arial"/>
          <w:i/>
          <w:iCs/>
          <w:color w:val="000000" w:themeColor="text1"/>
          <w:sz w:val="16"/>
          <w:szCs w:val="16"/>
        </w:rPr>
        <w:t xml:space="preserve"> </w:t>
      </w:r>
      <w:r w:rsidRPr="00F8256E">
        <w:rPr>
          <w:rFonts w:eastAsia="Times New Roman" w:cs="Arial"/>
          <w:color w:val="000000" w:themeColor="text1"/>
          <w:spacing w:val="-15"/>
          <w:sz w:val="16"/>
          <w:szCs w:val="16"/>
          <w:lang w:val="en-US"/>
        </w:rPr>
        <w:t>Human Rights Watch</w:t>
      </w:r>
      <w:r>
        <w:rPr>
          <w:rFonts w:eastAsia="Times New Roman" w:cs="Arial"/>
          <w:i/>
          <w:iCs/>
          <w:color w:val="000000" w:themeColor="text1"/>
          <w:spacing w:val="-15"/>
          <w:sz w:val="16"/>
          <w:szCs w:val="16"/>
          <w:lang w:val="en-US"/>
        </w:rPr>
        <w:t xml:space="preserve">, Syria: Opposition using Children in Conflict,  </w:t>
      </w:r>
      <w:r w:rsidRPr="00F8256E">
        <w:rPr>
          <w:rFonts w:eastAsia="Times New Roman" w:cs="Arial"/>
          <w:color w:val="000000" w:themeColor="text1"/>
          <w:sz w:val="16"/>
          <w:szCs w:val="16"/>
          <w:lang w:val="en-US"/>
        </w:rPr>
        <w:t>29 November 2012</w:t>
      </w:r>
    </w:p>
  </w:footnote>
  <w:footnote w:id="81">
    <w:p w:rsidR="00A12D55" w:rsidRPr="00A046B4" w:rsidRDefault="00A12D55" w:rsidP="00A046B4">
      <w:pPr>
        <w:pStyle w:val="FootnoteText"/>
        <w:rPr>
          <w:sz w:val="16"/>
          <w:szCs w:val="16"/>
          <w:lang w:val="en-US"/>
        </w:rPr>
      </w:pPr>
      <w:r w:rsidRPr="00A046B4">
        <w:rPr>
          <w:rStyle w:val="FootnoteReference"/>
          <w:sz w:val="16"/>
          <w:szCs w:val="16"/>
        </w:rPr>
        <w:footnoteRef/>
      </w:r>
      <w:r w:rsidRPr="00A046B4">
        <w:rPr>
          <w:sz w:val="16"/>
          <w:szCs w:val="16"/>
          <w:lang w:val="en-US"/>
        </w:rPr>
        <w:t xml:space="preserve"> </w:t>
      </w:r>
      <w:r w:rsidRPr="00A046B4">
        <w:rPr>
          <w:rFonts w:cs="Times New Roman"/>
          <w:sz w:val="16"/>
          <w:szCs w:val="16"/>
        </w:rPr>
        <w:t xml:space="preserve">Assessment Working Group for North Syria, </w:t>
      </w:r>
      <w:r w:rsidRPr="00A046B4">
        <w:rPr>
          <w:rFonts w:cs="Times New Roman"/>
          <w:i/>
          <w:iCs/>
          <w:sz w:val="16"/>
          <w:szCs w:val="16"/>
        </w:rPr>
        <w:t>Joint Rapid Needs Assessment of Syria II Final Report</w:t>
      </w:r>
      <w:r w:rsidRPr="00A046B4">
        <w:rPr>
          <w:rFonts w:cs="Times New Roman"/>
          <w:sz w:val="16"/>
          <w:szCs w:val="16"/>
        </w:rPr>
        <w:t>, 22 May 2013</w:t>
      </w:r>
    </w:p>
  </w:footnote>
  <w:footnote w:id="82">
    <w:p w:rsidR="00A12D55" w:rsidRPr="00A046B4" w:rsidRDefault="00A12D55">
      <w:pPr>
        <w:pStyle w:val="FootnoteText"/>
        <w:rPr>
          <w:sz w:val="16"/>
          <w:szCs w:val="16"/>
          <w:lang w:val="en-US"/>
        </w:rPr>
      </w:pPr>
      <w:r w:rsidRPr="00A046B4">
        <w:rPr>
          <w:rStyle w:val="FootnoteReference"/>
          <w:sz w:val="16"/>
          <w:szCs w:val="16"/>
        </w:rPr>
        <w:footnoteRef/>
      </w:r>
      <w:r w:rsidRPr="00A046B4">
        <w:rPr>
          <w:sz w:val="16"/>
          <w:szCs w:val="16"/>
          <w:lang w:val="en-US"/>
        </w:rPr>
        <w:t xml:space="preserve"> </w:t>
      </w:r>
      <w:r w:rsidRPr="00A046B4">
        <w:rPr>
          <w:i/>
          <w:iCs/>
          <w:sz w:val="16"/>
          <w:szCs w:val="16"/>
          <w:lang w:val="en-US"/>
        </w:rPr>
        <w:t>Ibid</w:t>
      </w:r>
    </w:p>
  </w:footnote>
  <w:footnote w:id="83">
    <w:p w:rsidR="00A12D55" w:rsidRPr="00A046B4" w:rsidRDefault="00A12D55" w:rsidP="005F3EF7">
      <w:pPr>
        <w:pStyle w:val="FootnoteText"/>
        <w:rPr>
          <w:i/>
          <w:iCs/>
          <w:sz w:val="16"/>
          <w:szCs w:val="16"/>
          <w:lang w:val="en-US"/>
        </w:rPr>
      </w:pPr>
      <w:r w:rsidRPr="00A046B4">
        <w:rPr>
          <w:rStyle w:val="FootnoteReference"/>
          <w:i/>
          <w:iCs/>
          <w:sz w:val="16"/>
          <w:szCs w:val="16"/>
        </w:rPr>
        <w:footnoteRef/>
      </w:r>
      <w:r w:rsidRPr="00A046B4">
        <w:rPr>
          <w:i/>
          <w:iCs/>
          <w:sz w:val="16"/>
          <w:szCs w:val="16"/>
          <w:lang w:val="en-US"/>
        </w:rPr>
        <w:t xml:space="preserve"> Ibid</w:t>
      </w:r>
    </w:p>
  </w:footnote>
  <w:footnote w:id="84">
    <w:p w:rsidR="00A12D55" w:rsidRPr="00A046B4" w:rsidRDefault="00A12D55" w:rsidP="007D02E2">
      <w:pPr>
        <w:autoSpaceDE w:val="0"/>
        <w:autoSpaceDN w:val="0"/>
        <w:adjustRightInd w:val="0"/>
        <w:spacing w:after="0" w:line="240" w:lineRule="auto"/>
        <w:rPr>
          <w:rFonts w:cs="Times New Roman"/>
          <w:sz w:val="16"/>
          <w:szCs w:val="16"/>
        </w:rPr>
      </w:pPr>
      <w:r w:rsidRPr="00A046B4">
        <w:rPr>
          <w:rStyle w:val="FootnoteReference"/>
          <w:sz w:val="16"/>
          <w:szCs w:val="16"/>
        </w:rPr>
        <w:footnoteRef/>
      </w:r>
      <w:r w:rsidRPr="00A046B4">
        <w:rPr>
          <w:sz w:val="16"/>
          <w:szCs w:val="16"/>
        </w:rPr>
        <w:t xml:space="preserve"> </w:t>
      </w:r>
      <w:r w:rsidRPr="00D31D6C">
        <w:rPr>
          <w:rFonts w:cs="TimesNewRomanPS-BoldMT"/>
          <w:sz w:val="16"/>
          <w:szCs w:val="16"/>
          <w:lang w:val="en-US"/>
        </w:rPr>
        <w:t xml:space="preserve">UNICEF &amp; SCFA , </w:t>
      </w:r>
      <w:r w:rsidRPr="00D31D6C">
        <w:rPr>
          <w:rFonts w:cs="TimesNewRomanPS-BoldMT"/>
          <w:i/>
          <w:iCs/>
          <w:sz w:val="16"/>
          <w:szCs w:val="16"/>
          <w:lang w:val="en-US"/>
        </w:rPr>
        <w:t>Situation Analysis of Childhood Status in Syria</w:t>
      </w:r>
      <w:r w:rsidRPr="00D31D6C">
        <w:rPr>
          <w:rFonts w:cs="TimesNewRomanPS-BoldMT"/>
          <w:sz w:val="16"/>
          <w:szCs w:val="16"/>
          <w:lang w:val="en-US"/>
        </w:rPr>
        <w:t>, 2008</w:t>
      </w:r>
    </w:p>
  </w:footnote>
  <w:footnote w:id="85">
    <w:p w:rsidR="00A12D55" w:rsidRPr="002F7320" w:rsidRDefault="00A12D55" w:rsidP="00A27F13">
      <w:pPr>
        <w:pStyle w:val="FootnoteText"/>
        <w:jc w:val="both"/>
        <w:rPr>
          <w:sz w:val="16"/>
          <w:szCs w:val="16"/>
        </w:rPr>
      </w:pPr>
      <w:r w:rsidRPr="00A046B4">
        <w:rPr>
          <w:rStyle w:val="FootnoteReference"/>
          <w:rFonts w:cs="Arial"/>
          <w:i/>
          <w:iCs/>
          <w:color w:val="000000" w:themeColor="text1"/>
          <w:sz w:val="16"/>
          <w:szCs w:val="16"/>
        </w:rPr>
        <w:footnoteRef/>
      </w:r>
      <w:r>
        <w:rPr>
          <w:rFonts w:cs="Arial"/>
          <w:i/>
          <w:iCs/>
          <w:color w:val="000000" w:themeColor="text1"/>
          <w:sz w:val="16"/>
          <w:szCs w:val="16"/>
        </w:rPr>
        <w:t xml:space="preserve"> </w:t>
      </w:r>
      <w:r w:rsidRPr="002F7320">
        <w:rPr>
          <w:rFonts w:cs="Arial"/>
          <w:color w:val="000000" w:themeColor="text1"/>
          <w:sz w:val="16"/>
          <w:szCs w:val="16"/>
        </w:rPr>
        <w:t>Human Rights Watch,</w:t>
      </w:r>
      <w:r w:rsidRPr="00A046B4">
        <w:rPr>
          <w:rFonts w:cs="Arial"/>
          <w:i/>
          <w:iCs/>
          <w:color w:val="000000" w:themeColor="text1"/>
          <w:sz w:val="16"/>
          <w:szCs w:val="16"/>
        </w:rPr>
        <w:t xml:space="preserve"> World Report 2012: Sy</w:t>
      </w:r>
      <w:r>
        <w:rPr>
          <w:rFonts w:cs="Arial"/>
          <w:i/>
          <w:iCs/>
          <w:color w:val="000000" w:themeColor="text1"/>
          <w:sz w:val="16"/>
          <w:szCs w:val="16"/>
        </w:rPr>
        <w:t xml:space="preserve">ria, </w:t>
      </w:r>
      <w:r>
        <w:rPr>
          <w:rFonts w:cs="Arial"/>
          <w:color w:val="000000" w:themeColor="text1"/>
          <w:sz w:val="16"/>
          <w:szCs w:val="16"/>
        </w:rPr>
        <w:t>2012</w:t>
      </w:r>
    </w:p>
  </w:footnote>
  <w:footnote w:id="86">
    <w:p w:rsidR="00A12D55" w:rsidRPr="00A046B4" w:rsidRDefault="00A12D55" w:rsidP="007D02E2">
      <w:pPr>
        <w:autoSpaceDE w:val="0"/>
        <w:autoSpaceDN w:val="0"/>
        <w:adjustRightInd w:val="0"/>
        <w:spacing w:after="0" w:line="240" w:lineRule="auto"/>
        <w:rPr>
          <w:rFonts w:cs="Times New Roman"/>
          <w:sz w:val="16"/>
          <w:szCs w:val="16"/>
        </w:rPr>
      </w:pPr>
      <w:r w:rsidRPr="00A046B4">
        <w:rPr>
          <w:rStyle w:val="FootnoteReference"/>
          <w:sz w:val="16"/>
          <w:szCs w:val="16"/>
        </w:rPr>
        <w:footnoteRef/>
      </w:r>
      <w:r w:rsidRPr="00A046B4">
        <w:rPr>
          <w:sz w:val="16"/>
          <w:szCs w:val="16"/>
          <w:lang w:val="en-US"/>
        </w:rPr>
        <w:t xml:space="preserve"> </w:t>
      </w:r>
      <w:r w:rsidRPr="00D31D6C">
        <w:rPr>
          <w:rFonts w:cs="TimesNewRomanPS-BoldMT"/>
          <w:sz w:val="16"/>
          <w:szCs w:val="16"/>
          <w:lang w:val="en-US"/>
        </w:rPr>
        <w:t xml:space="preserve">UNICEF &amp; SCFA , </w:t>
      </w:r>
      <w:r w:rsidRPr="00D31D6C">
        <w:rPr>
          <w:rFonts w:cs="TimesNewRomanPS-BoldMT"/>
          <w:i/>
          <w:iCs/>
          <w:sz w:val="16"/>
          <w:szCs w:val="16"/>
          <w:lang w:val="en-US"/>
        </w:rPr>
        <w:t>Situation Analysis of Childhood Status in Syria</w:t>
      </w:r>
      <w:r w:rsidRPr="00D31D6C">
        <w:rPr>
          <w:rFonts w:cs="TimesNewRomanPS-BoldMT"/>
          <w:sz w:val="16"/>
          <w:szCs w:val="16"/>
          <w:lang w:val="en-US"/>
        </w:rPr>
        <w:t>, 2008</w:t>
      </w:r>
    </w:p>
  </w:footnote>
  <w:footnote w:id="87">
    <w:p w:rsidR="00A12D55" w:rsidRPr="00F8256E" w:rsidRDefault="00A12D55" w:rsidP="00A046B4">
      <w:pPr>
        <w:pStyle w:val="FootnoteText"/>
        <w:rPr>
          <w:sz w:val="16"/>
          <w:szCs w:val="16"/>
          <w:lang w:val="en-US"/>
        </w:rPr>
      </w:pPr>
      <w:r w:rsidRPr="00F8256E">
        <w:rPr>
          <w:rStyle w:val="FootnoteReference"/>
          <w:sz w:val="16"/>
          <w:szCs w:val="16"/>
        </w:rPr>
        <w:footnoteRef/>
      </w:r>
      <w:r w:rsidRPr="00F8256E">
        <w:rPr>
          <w:sz w:val="16"/>
          <w:szCs w:val="16"/>
          <w:lang w:val="en-US"/>
        </w:rPr>
        <w:t xml:space="preserve"> </w:t>
      </w:r>
      <w:r w:rsidRPr="00F8256E">
        <w:rPr>
          <w:i/>
          <w:iCs/>
          <w:sz w:val="16"/>
          <w:szCs w:val="16"/>
          <w:lang w:val="en-US"/>
        </w:rPr>
        <w:t>Ibid</w:t>
      </w:r>
    </w:p>
  </w:footnote>
  <w:footnote w:id="88">
    <w:p w:rsidR="00A12D55" w:rsidRPr="00F8256E" w:rsidRDefault="00A12D55" w:rsidP="00A046B4">
      <w:pPr>
        <w:autoSpaceDE w:val="0"/>
        <w:autoSpaceDN w:val="0"/>
        <w:adjustRightInd w:val="0"/>
        <w:spacing w:after="0" w:line="240" w:lineRule="auto"/>
        <w:rPr>
          <w:rFonts w:cs="Times New Roman"/>
          <w:sz w:val="16"/>
          <w:szCs w:val="16"/>
        </w:rPr>
      </w:pPr>
      <w:r w:rsidRPr="00F8256E">
        <w:rPr>
          <w:rStyle w:val="FootnoteReference"/>
          <w:sz w:val="16"/>
          <w:szCs w:val="16"/>
        </w:rPr>
        <w:footnoteRef/>
      </w:r>
      <w:r w:rsidRPr="00F8256E">
        <w:rPr>
          <w:sz w:val="16"/>
          <w:szCs w:val="16"/>
          <w:lang w:val="en-US"/>
        </w:rPr>
        <w:t xml:space="preserve"> </w:t>
      </w:r>
      <w:r w:rsidRPr="00F8256E">
        <w:rPr>
          <w:rFonts w:cs="TimesNewRomanPS-BoldMT"/>
          <w:sz w:val="16"/>
          <w:szCs w:val="16"/>
          <w:lang w:val="en-US"/>
        </w:rPr>
        <w:t xml:space="preserve">UNICEF &amp; SCFA , </w:t>
      </w:r>
      <w:r w:rsidRPr="00F8256E">
        <w:rPr>
          <w:rFonts w:cs="TimesNewRomanPS-BoldMT"/>
          <w:i/>
          <w:iCs/>
          <w:sz w:val="16"/>
          <w:szCs w:val="16"/>
          <w:lang w:val="en-US"/>
        </w:rPr>
        <w:t>Situation Analysis of Childhood Status in Syria</w:t>
      </w:r>
      <w:r w:rsidRPr="00F8256E">
        <w:rPr>
          <w:rFonts w:cs="TimesNewRomanPS-BoldMT"/>
          <w:sz w:val="16"/>
          <w:szCs w:val="16"/>
          <w:lang w:val="en-US"/>
        </w:rPr>
        <w:t>, 2008</w:t>
      </w:r>
    </w:p>
  </w:footnote>
  <w:footnote w:id="89">
    <w:p w:rsidR="00A12D55" w:rsidRPr="00F8256E" w:rsidRDefault="00A12D55" w:rsidP="00F8256E">
      <w:pPr>
        <w:pStyle w:val="FootnoteText"/>
        <w:rPr>
          <w:i/>
          <w:iCs/>
          <w:sz w:val="16"/>
          <w:szCs w:val="16"/>
        </w:rPr>
      </w:pPr>
      <w:r w:rsidRPr="00F8256E">
        <w:rPr>
          <w:rStyle w:val="FootnoteReference"/>
          <w:i/>
          <w:iCs/>
          <w:sz w:val="16"/>
          <w:szCs w:val="16"/>
        </w:rPr>
        <w:footnoteRef/>
      </w:r>
      <w:r w:rsidRPr="00F8256E">
        <w:rPr>
          <w:i/>
          <w:iCs/>
          <w:sz w:val="16"/>
          <w:szCs w:val="16"/>
        </w:rPr>
        <w:t xml:space="preserve"> </w:t>
      </w:r>
      <w:r w:rsidRPr="00F8256E">
        <w:rPr>
          <w:sz w:val="16"/>
          <w:szCs w:val="16"/>
        </w:rPr>
        <w:t>U.N. News Service</w:t>
      </w:r>
      <w:r>
        <w:rPr>
          <w:i/>
          <w:iCs/>
          <w:sz w:val="16"/>
          <w:szCs w:val="16"/>
        </w:rPr>
        <w:t xml:space="preserve">, </w:t>
      </w:r>
      <w:r w:rsidRPr="00F8256E">
        <w:rPr>
          <w:i/>
          <w:iCs/>
          <w:sz w:val="16"/>
          <w:szCs w:val="16"/>
        </w:rPr>
        <w:t xml:space="preserve">Daily News </w:t>
      </w:r>
      <w:r w:rsidRPr="00F8256E">
        <w:rPr>
          <w:rFonts w:cs="TT2FA0o00"/>
          <w:sz w:val="16"/>
          <w:szCs w:val="16"/>
          <w:lang w:val="en-US"/>
        </w:rPr>
        <w:t>Issue DH/6341</w:t>
      </w:r>
      <w:r w:rsidRPr="00F8256E">
        <w:rPr>
          <w:sz w:val="16"/>
          <w:szCs w:val="16"/>
        </w:rPr>
        <w:t xml:space="preserve">, </w:t>
      </w:r>
      <w:r w:rsidRPr="00F8256E">
        <w:rPr>
          <w:i/>
          <w:iCs/>
          <w:sz w:val="16"/>
          <w:szCs w:val="16"/>
        </w:rPr>
        <w:t xml:space="preserve"> 15 February 2013</w:t>
      </w:r>
      <w:r>
        <w:rPr>
          <w:i/>
          <w:iCs/>
          <w:sz w:val="16"/>
          <w:szCs w:val="16"/>
        </w:rPr>
        <w:t xml:space="preserve"> </w:t>
      </w:r>
    </w:p>
  </w:footnote>
  <w:footnote w:id="90">
    <w:p w:rsidR="00A12D55" w:rsidRPr="00F8256E" w:rsidRDefault="00A12D55" w:rsidP="00F97D5B">
      <w:pPr>
        <w:autoSpaceDE w:val="0"/>
        <w:autoSpaceDN w:val="0"/>
        <w:adjustRightInd w:val="0"/>
        <w:spacing w:after="0" w:line="240" w:lineRule="auto"/>
        <w:rPr>
          <w:rFonts w:cs="TimesNewRomanPS-BoldMT"/>
          <w:i/>
          <w:iCs/>
          <w:sz w:val="16"/>
          <w:szCs w:val="16"/>
          <w:lang w:val="en-US"/>
        </w:rPr>
      </w:pPr>
      <w:r w:rsidRPr="00F8256E">
        <w:rPr>
          <w:rStyle w:val="FootnoteReference"/>
          <w:i/>
          <w:iCs/>
          <w:sz w:val="16"/>
          <w:szCs w:val="16"/>
        </w:rPr>
        <w:footnoteRef/>
      </w:r>
      <w:r w:rsidRPr="00F8256E">
        <w:rPr>
          <w:i/>
          <w:iCs/>
          <w:sz w:val="16"/>
          <w:szCs w:val="16"/>
        </w:rPr>
        <w:t xml:space="preserve"> </w:t>
      </w:r>
      <w:r w:rsidRPr="00F8256E">
        <w:rPr>
          <w:rFonts w:cs="TimesNewRomanPS-BoldMT"/>
          <w:sz w:val="16"/>
          <w:szCs w:val="16"/>
          <w:lang w:val="en-US"/>
        </w:rPr>
        <w:t xml:space="preserve">Human Rights Council, </w:t>
      </w:r>
      <w:r>
        <w:rPr>
          <w:rFonts w:cs="TimesNewRomanPS-BoldMT"/>
          <w:sz w:val="16"/>
          <w:szCs w:val="16"/>
          <w:lang w:val="en-US"/>
        </w:rPr>
        <w:t>22</w:t>
      </w:r>
      <w:r w:rsidRPr="00F8256E">
        <w:rPr>
          <w:rFonts w:cs="TimesNewRomanPS-BoldMT"/>
          <w:sz w:val="16"/>
          <w:szCs w:val="16"/>
          <w:vertAlign w:val="superscript"/>
          <w:lang w:val="en-US"/>
        </w:rPr>
        <w:t>nd</w:t>
      </w:r>
      <w:r>
        <w:rPr>
          <w:rFonts w:cs="TimesNewRomanPS-BoldMT"/>
          <w:sz w:val="16"/>
          <w:szCs w:val="16"/>
          <w:lang w:val="en-US"/>
        </w:rPr>
        <w:t xml:space="preserve"> Session, </w:t>
      </w:r>
      <w:r w:rsidRPr="00F8256E">
        <w:rPr>
          <w:rFonts w:cs="TimesNewRomanPS-BoldMT"/>
          <w:i/>
          <w:iCs/>
          <w:sz w:val="16"/>
          <w:szCs w:val="16"/>
          <w:lang w:val="en-US"/>
        </w:rPr>
        <w:t>Report of the Independent International Commission of Inquiry on the Syrian Arab</w:t>
      </w:r>
    </w:p>
    <w:p w:rsidR="00A12D55" w:rsidRPr="00F8256E" w:rsidRDefault="00A12D55" w:rsidP="00F97D5B">
      <w:pPr>
        <w:pStyle w:val="FootnoteText"/>
        <w:rPr>
          <w:i/>
          <w:iCs/>
          <w:sz w:val="16"/>
          <w:szCs w:val="16"/>
        </w:rPr>
      </w:pPr>
      <w:r w:rsidRPr="00F8256E">
        <w:rPr>
          <w:rFonts w:cs="TimesNewRomanPS-BoldMT"/>
          <w:i/>
          <w:iCs/>
          <w:sz w:val="16"/>
          <w:szCs w:val="16"/>
          <w:lang w:val="en-US"/>
        </w:rPr>
        <w:t>Republic, February 2013</w:t>
      </w:r>
    </w:p>
  </w:footnote>
  <w:footnote w:id="91">
    <w:p w:rsidR="00A12D55" w:rsidRPr="00F8256E" w:rsidRDefault="00A12D55" w:rsidP="00DB409C">
      <w:pPr>
        <w:pStyle w:val="Heading6"/>
        <w:spacing w:before="0" w:line="240" w:lineRule="auto"/>
        <w:jc w:val="both"/>
        <w:rPr>
          <w:rFonts w:asciiTheme="minorHAnsi" w:eastAsia="Times New Roman" w:hAnsiTheme="minorHAnsi" w:cs="Arial"/>
          <w:color w:val="000000" w:themeColor="text1"/>
          <w:spacing w:val="-15"/>
          <w:sz w:val="16"/>
          <w:szCs w:val="16"/>
          <w:lang w:val="en-US"/>
        </w:rPr>
      </w:pPr>
      <w:r w:rsidRPr="00F8256E">
        <w:rPr>
          <w:rStyle w:val="FootnoteReference"/>
          <w:rFonts w:asciiTheme="minorHAnsi" w:hAnsiTheme="minorHAnsi" w:cs="Arial"/>
          <w:b/>
          <w:color w:val="000000" w:themeColor="text1"/>
          <w:sz w:val="16"/>
          <w:szCs w:val="16"/>
        </w:rPr>
        <w:footnoteRef/>
      </w:r>
      <w:r w:rsidRPr="00F8256E">
        <w:rPr>
          <w:rFonts w:asciiTheme="minorHAnsi" w:hAnsiTheme="minorHAnsi" w:cs="Arial"/>
          <w:b/>
          <w:color w:val="000000" w:themeColor="text1"/>
          <w:sz w:val="16"/>
          <w:szCs w:val="16"/>
        </w:rPr>
        <w:t xml:space="preserve"> </w:t>
      </w:r>
      <w:r w:rsidRPr="00DB409C">
        <w:rPr>
          <w:rFonts w:asciiTheme="minorHAnsi" w:hAnsiTheme="minorHAnsi" w:cs="Arial"/>
          <w:i w:val="0"/>
          <w:iCs w:val="0"/>
          <w:color w:val="000000" w:themeColor="text1"/>
          <w:sz w:val="16"/>
          <w:szCs w:val="16"/>
        </w:rPr>
        <w:t>Human Rights Watch</w:t>
      </w:r>
      <w:r>
        <w:rPr>
          <w:rFonts w:asciiTheme="minorHAnsi" w:hAnsiTheme="minorHAnsi" w:cs="Arial"/>
          <w:color w:val="000000" w:themeColor="text1"/>
          <w:sz w:val="16"/>
          <w:szCs w:val="16"/>
        </w:rPr>
        <w:t xml:space="preserve">, </w:t>
      </w:r>
      <w:hyperlink r:id="rId4" w:tooltip="Syria: Sexual Assault in Detention" w:history="1">
        <w:r w:rsidRPr="00F8256E">
          <w:rPr>
            <w:rFonts w:asciiTheme="minorHAnsi" w:eastAsia="Times New Roman" w:hAnsiTheme="minorHAnsi" w:cs="Arial"/>
            <w:color w:val="000000" w:themeColor="text1"/>
            <w:spacing w:val="-15"/>
            <w:sz w:val="16"/>
            <w:szCs w:val="16"/>
            <w:lang w:val="en-US"/>
          </w:rPr>
          <w:t>Syria: Sexual Assault in Detention</w:t>
        </w:r>
      </w:hyperlink>
      <w:r w:rsidRPr="00F8256E">
        <w:rPr>
          <w:rFonts w:asciiTheme="minorHAnsi" w:eastAsia="Times New Roman" w:hAnsiTheme="minorHAnsi" w:cs="Arial"/>
          <w:color w:val="000000" w:themeColor="text1"/>
          <w:spacing w:val="-15"/>
          <w:sz w:val="16"/>
          <w:szCs w:val="16"/>
          <w:lang w:val="en-US"/>
        </w:rPr>
        <w:t xml:space="preserve"> -</w:t>
      </w:r>
      <w:r w:rsidRPr="00F8256E">
        <w:rPr>
          <w:rFonts w:asciiTheme="minorHAnsi" w:eastAsia="Times New Roman" w:hAnsiTheme="minorHAnsi" w:cs="Arial"/>
          <w:color w:val="000000" w:themeColor="text1"/>
          <w:sz w:val="16"/>
          <w:szCs w:val="16"/>
          <w:lang w:val="en-US"/>
        </w:rPr>
        <w:t>Security Forces Also Attacked Wom</w:t>
      </w:r>
      <w:r>
        <w:rPr>
          <w:rFonts w:asciiTheme="minorHAnsi" w:eastAsia="Times New Roman" w:hAnsiTheme="minorHAnsi" w:cs="Arial"/>
          <w:color w:val="000000" w:themeColor="text1"/>
          <w:sz w:val="16"/>
          <w:szCs w:val="16"/>
          <w:lang w:val="en-US"/>
        </w:rPr>
        <w:t xml:space="preserve">en and Girls in Raids on Homes, </w:t>
      </w:r>
      <w:r w:rsidRPr="00DB409C">
        <w:rPr>
          <w:rFonts w:asciiTheme="minorHAnsi" w:eastAsia="Times New Roman" w:hAnsiTheme="minorHAnsi" w:cs="Arial"/>
          <w:i w:val="0"/>
          <w:iCs w:val="0"/>
          <w:color w:val="000000" w:themeColor="text1"/>
          <w:sz w:val="16"/>
          <w:szCs w:val="16"/>
          <w:lang w:val="en-US"/>
        </w:rPr>
        <w:t>15 June 2013</w:t>
      </w:r>
    </w:p>
  </w:footnote>
  <w:footnote w:id="92">
    <w:p w:rsidR="00A12D55" w:rsidRPr="00DB409C" w:rsidRDefault="00A12D55" w:rsidP="00DB409C">
      <w:pPr>
        <w:pStyle w:val="FootnoteText"/>
        <w:jc w:val="both"/>
        <w:rPr>
          <w:rFonts w:cs="Arial"/>
          <w:color w:val="000000" w:themeColor="text1"/>
          <w:sz w:val="16"/>
          <w:szCs w:val="16"/>
        </w:rPr>
      </w:pPr>
      <w:r w:rsidRPr="00DB409C">
        <w:rPr>
          <w:rStyle w:val="FootnoteReference"/>
          <w:sz w:val="16"/>
          <w:szCs w:val="16"/>
        </w:rPr>
        <w:footnoteRef/>
      </w:r>
      <w:r w:rsidRPr="00DB409C">
        <w:rPr>
          <w:sz w:val="16"/>
          <w:szCs w:val="16"/>
        </w:rPr>
        <w:t xml:space="preserve"> </w:t>
      </w:r>
      <w:r>
        <w:rPr>
          <w:rFonts w:cs="Arial"/>
          <w:color w:val="000000" w:themeColor="text1"/>
          <w:sz w:val="16"/>
          <w:szCs w:val="16"/>
        </w:rPr>
        <w:t>Human Rights Council,</w:t>
      </w:r>
      <w:r w:rsidRPr="00DB409C">
        <w:rPr>
          <w:rFonts w:cs="Arial"/>
          <w:color w:val="000000" w:themeColor="text1"/>
          <w:sz w:val="16"/>
          <w:szCs w:val="16"/>
        </w:rPr>
        <w:t xml:space="preserve"> </w:t>
      </w:r>
      <w:r>
        <w:rPr>
          <w:rFonts w:cs="Arial"/>
          <w:color w:val="000000" w:themeColor="text1"/>
          <w:sz w:val="16"/>
          <w:szCs w:val="16"/>
        </w:rPr>
        <w:t xml:space="preserve">Oral Update </w:t>
      </w:r>
      <w:r w:rsidRPr="00DB409C">
        <w:rPr>
          <w:rFonts w:cs="Arial"/>
          <w:i/>
          <w:iCs/>
          <w:color w:val="000000" w:themeColor="text1"/>
          <w:sz w:val="16"/>
          <w:szCs w:val="16"/>
        </w:rPr>
        <w:t xml:space="preserve">of the independent international commission of inquiry on the Syrian Arab Republic, </w:t>
      </w:r>
      <w:r>
        <w:rPr>
          <w:rFonts w:cs="Arial"/>
          <w:color w:val="000000" w:themeColor="text1"/>
          <w:sz w:val="16"/>
          <w:szCs w:val="16"/>
        </w:rPr>
        <w:t>March 2013</w:t>
      </w:r>
    </w:p>
  </w:footnote>
  <w:footnote w:id="93">
    <w:p w:rsidR="00A12D55" w:rsidRPr="00F8256E" w:rsidRDefault="00A12D55" w:rsidP="009026E5">
      <w:pPr>
        <w:autoSpaceDE w:val="0"/>
        <w:autoSpaceDN w:val="0"/>
        <w:adjustRightInd w:val="0"/>
        <w:spacing w:after="0" w:line="240" w:lineRule="auto"/>
        <w:rPr>
          <w:rFonts w:cs="TimesNewRomanPS-BoldMT"/>
          <w:i/>
          <w:iCs/>
          <w:sz w:val="16"/>
          <w:szCs w:val="16"/>
          <w:lang w:val="en-US"/>
        </w:rPr>
      </w:pPr>
      <w:r>
        <w:rPr>
          <w:rStyle w:val="FootnoteReference"/>
        </w:rPr>
        <w:footnoteRef/>
      </w:r>
      <w:r>
        <w:t xml:space="preserve"> </w:t>
      </w:r>
      <w:r w:rsidRPr="00F8256E">
        <w:rPr>
          <w:rFonts w:cs="TimesNewRomanPS-BoldMT"/>
          <w:sz w:val="16"/>
          <w:szCs w:val="16"/>
          <w:lang w:val="en-US"/>
        </w:rPr>
        <w:t xml:space="preserve">Human Rights Council, </w:t>
      </w:r>
      <w:r>
        <w:rPr>
          <w:rFonts w:cs="TimesNewRomanPS-BoldMT"/>
          <w:sz w:val="16"/>
          <w:szCs w:val="16"/>
          <w:lang w:val="en-US"/>
        </w:rPr>
        <w:t>22</w:t>
      </w:r>
      <w:r w:rsidRPr="00DB409C">
        <w:rPr>
          <w:rFonts w:cs="TimesNewRomanPS-BoldMT"/>
          <w:sz w:val="16"/>
          <w:szCs w:val="16"/>
          <w:vertAlign w:val="superscript"/>
          <w:lang w:val="en-US"/>
        </w:rPr>
        <w:t>nd</w:t>
      </w:r>
      <w:r>
        <w:rPr>
          <w:rFonts w:cs="TimesNewRomanPS-BoldMT"/>
          <w:sz w:val="16"/>
          <w:szCs w:val="16"/>
          <w:lang w:val="en-US"/>
        </w:rPr>
        <w:t xml:space="preserve"> Session, </w:t>
      </w:r>
      <w:r w:rsidRPr="00F8256E">
        <w:rPr>
          <w:rFonts w:cs="TimesNewRomanPS-BoldMT"/>
          <w:i/>
          <w:iCs/>
          <w:sz w:val="16"/>
          <w:szCs w:val="16"/>
          <w:lang w:val="en-US"/>
        </w:rPr>
        <w:t>Report of the Independent International Commission of Inquiry on the Syrian Arab</w:t>
      </w:r>
    </w:p>
    <w:p w:rsidR="00A12D55" w:rsidRPr="009026E5" w:rsidRDefault="00A12D55" w:rsidP="009026E5">
      <w:pPr>
        <w:pStyle w:val="FootnoteText"/>
      </w:pPr>
      <w:r w:rsidRPr="00F8256E">
        <w:rPr>
          <w:rFonts w:cs="TimesNewRomanPS-BoldMT"/>
          <w:i/>
          <w:iCs/>
          <w:sz w:val="16"/>
          <w:szCs w:val="16"/>
          <w:lang w:val="en-US"/>
        </w:rPr>
        <w:t xml:space="preserve">Republic, </w:t>
      </w:r>
      <w:r>
        <w:rPr>
          <w:rFonts w:cs="TimesNewRomanPS-BoldMT"/>
          <w:i/>
          <w:iCs/>
          <w:sz w:val="16"/>
          <w:szCs w:val="16"/>
          <w:lang w:val="en-US"/>
        </w:rPr>
        <w:t>August 2012</w:t>
      </w:r>
    </w:p>
  </w:footnote>
  <w:footnote w:id="94">
    <w:p w:rsidR="00A12D55" w:rsidRPr="00DB409C" w:rsidRDefault="00A12D55" w:rsidP="00DB409C">
      <w:pPr>
        <w:pStyle w:val="FootnoteText"/>
        <w:jc w:val="both"/>
        <w:rPr>
          <w:rFonts w:cs="Arial"/>
          <w:color w:val="000000" w:themeColor="text1"/>
          <w:sz w:val="16"/>
          <w:szCs w:val="16"/>
        </w:rPr>
      </w:pPr>
      <w:r w:rsidRPr="00F8256E">
        <w:rPr>
          <w:rStyle w:val="FootnoteReference"/>
          <w:rFonts w:cs="Arial"/>
          <w:i/>
          <w:iCs/>
          <w:color w:val="000000" w:themeColor="text1"/>
          <w:sz w:val="16"/>
          <w:szCs w:val="16"/>
        </w:rPr>
        <w:footnoteRef/>
      </w:r>
      <w:r>
        <w:rPr>
          <w:rFonts w:cs="Arial"/>
          <w:i/>
          <w:iCs/>
          <w:color w:val="000000" w:themeColor="text1"/>
          <w:sz w:val="16"/>
          <w:szCs w:val="16"/>
        </w:rPr>
        <w:t xml:space="preserve"> </w:t>
      </w:r>
      <w:r w:rsidRPr="00DB409C">
        <w:rPr>
          <w:rFonts w:cs="Arial"/>
          <w:color w:val="000000" w:themeColor="text1"/>
          <w:sz w:val="16"/>
          <w:szCs w:val="16"/>
        </w:rPr>
        <w:t>Human Rights Council</w:t>
      </w:r>
      <w:r>
        <w:rPr>
          <w:rFonts w:cs="Arial"/>
          <w:i/>
          <w:iCs/>
          <w:color w:val="000000" w:themeColor="text1"/>
          <w:sz w:val="16"/>
          <w:szCs w:val="16"/>
        </w:rPr>
        <w:t>,</w:t>
      </w:r>
      <w:r w:rsidRPr="00F8256E">
        <w:rPr>
          <w:rFonts w:cs="Arial"/>
          <w:i/>
          <w:iCs/>
          <w:color w:val="000000" w:themeColor="text1"/>
          <w:sz w:val="16"/>
          <w:szCs w:val="16"/>
        </w:rPr>
        <w:t xml:space="preserve"> </w:t>
      </w:r>
      <w:r>
        <w:rPr>
          <w:rFonts w:cs="Arial"/>
          <w:i/>
          <w:iCs/>
          <w:color w:val="000000" w:themeColor="text1"/>
          <w:sz w:val="16"/>
          <w:szCs w:val="16"/>
        </w:rPr>
        <w:t>21</w:t>
      </w:r>
      <w:r w:rsidRPr="00DB409C">
        <w:rPr>
          <w:rFonts w:cs="Arial"/>
          <w:i/>
          <w:iCs/>
          <w:color w:val="000000" w:themeColor="text1"/>
          <w:sz w:val="16"/>
          <w:szCs w:val="16"/>
          <w:vertAlign w:val="superscript"/>
        </w:rPr>
        <w:t>st</w:t>
      </w:r>
      <w:r>
        <w:rPr>
          <w:rFonts w:cs="Arial"/>
          <w:i/>
          <w:iCs/>
          <w:color w:val="000000" w:themeColor="text1"/>
          <w:sz w:val="16"/>
          <w:szCs w:val="16"/>
        </w:rPr>
        <w:t xml:space="preserve"> Session, </w:t>
      </w:r>
      <w:r w:rsidRPr="00F8256E">
        <w:rPr>
          <w:rFonts w:cs="Arial"/>
          <w:i/>
          <w:iCs/>
          <w:color w:val="000000" w:themeColor="text1"/>
          <w:sz w:val="16"/>
          <w:szCs w:val="16"/>
        </w:rPr>
        <w:t>Report of the independent international commission of inqui</w:t>
      </w:r>
      <w:r>
        <w:rPr>
          <w:rFonts w:cs="Arial"/>
          <w:i/>
          <w:iCs/>
          <w:color w:val="000000" w:themeColor="text1"/>
          <w:sz w:val="16"/>
          <w:szCs w:val="16"/>
        </w:rPr>
        <w:t xml:space="preserve">ry on the Syrian Arab Republic, </w:t>
      </w:r>
      <w:r>
        <w:rPr>
          <w:rFonts w:cs="Arial"/>
          <w:color w:val="000000" w:themeColor="text1"/>
          <w:sz w:val="16"/>
          <w:szCs w:val="16"/>
        </w:rPr>
        <w:t>August 2012</w:t>
      </w:r>
    </w:p>
  </w:footnote>
  <w:footnote w:id="95">
    <w:p w:rsidR="00A12D55" w:rsidRPr="00F8256E" w:rsidRDefault="00A12D55" w:rsidP="00A046B4">
      <w:pPr>
        <w:pStyle w:val="FootnoteText"/>
        <w:rPr>
          <w:sz w:val="16"/>
          <w:szCs w:val="16"/>
        </w:rPr>
      </w:pPr>
      <w:r w:rsidRPr="00F8256E">
        <w:rPr>
          <w:rStyle w:val="FootnoteReference"/>
          <w:i/>
          <w:iCs/>
          <w:sz w:val="16"/>
          <w:szCs w:val="16"/>
        </w:rPr>
        <w:footnoteRef/>
      </w:r>
      <w:r w:rsidRPr="00F8256E">
        <w:rPr>
          <w:i/>
          <w:iCs/>
          <w:sz w:val="16"/>
          <w:szCs w:val="16"/>
        </w:rPr>
        <w:t xml:space="preserve"> </w:t>
      </w:r>
      <w:r w:rsidRPr="00F8256E">
        <w:rPr>
          <w:rFonts w:cs="Times New Roman"/>
          <w:sz w:val="16"/>
          <w:szCs w:val="16"/>
        </w:rPr>
        <w:t xml:space="preserve">Assessment Working Group for North Syria, </w:t>
      </w:r>
      <w:r w:rsidRPr="00F8256E">
        <w:rPr>
          <w:rFonts w:cs="Times New Roman"/>
          <w:i/>
          <w:iCs/>
          <w:sz w:val="16"/>
          <w:szCs w:val="16"/>
        </w:rPr>
        <w:t>Joint Rapid Needs Assessment of Syria II Final Report</w:t>
      </w:r>
      <w:r w:rsidRPr="00F8256E">
        <w:rPr>
          <w:rFonts w:cs="Times New Roman"/>
          <w:sz w:val="16"/>
          <w:szCs w:val="16"/>
        </w:rPr>
        <w:t>, 22 May 2013</w:t>
      </w:r>
    </w:p>
  </w:footnote>
  <w:footnote w:id="96">
    <w:p w:rsidR="00A12D55" w:rsidRPr="00F8256E" w:rsidRDefault="00A12D55" w:rsidP="0064499C">
      <w:pPr>
        <w:pStyle w:val="FootnoteText"/>
        <w:rPr>
          <w:i/>
          <w:iCs/>
          <w:sz w:val="16"/>
          <w:szCs w:val="16"/>
          <w:lang w:val="en-US"/>
        </w:rPr>
      </w:pPr>
      <w:r w:rsidRPr="0064499C">
        <w:rPr>
          <w:rStyle w:val="FootnoteReference"/>
          <w:i/>
          <w:iCs/>
          <w:sz w:val="16"/>
          <w:szCs w:val="16"/>
        </w:rPr>
        <w:footnoteRef/>
      </w:r>
      <w:r w:rsidRPr="0064499C">
        <w:rPr>
          <w:i/>
          <w:iCs/>
          <w:sz w:val="16"/>
          <w:szCs w:val="16"/>
        </w:rPr>
        <w:t xml:space="preserve"> </w:t>
      </w:r>
      <w:r w:rsidRPr="0064499C">
        <w:rPr>
          <w:i/>
          <w:iCs/>
          <w:sz w:val="16"/>
          <w:szCs w:val="16"/>
          <w:lang w:val="en-US"/>
        </w:rPr>
        <w:t>Save the Children Unspeakable Crimes against Children: Sexual Violence in Conflict</w:t>
      </w:r>
      <w:r>
        <w:rPr>
          <w:i/>
          <w:iCs/>
          <w:sz w:val="16"/>
          <w:szCs w:val="16"/>
          <w:lang w:val="en-US"/>
        </w:rPr>
        <w:t>, April 2013</w:t>
      </w:r>
    </w:p>
  </w:footnote>
  <w:footnote w:id="97">
    <w:p w:rsidR="00A12D55" w:rsidRPr="00F8256E" w:rsidRDefault="00A12D55" w:rsidP="00F97D5B">
      <w:pPr>
        <w:autoSpaceDE w:val="0"/>
        <w:autoSpaceDN w:val="0"/>
        <w:adjustRightInd w:val="0"/>
        <w:spacing w:after="0" w:line="240" w:lineRule="auto"/>
        <w:rPr>
          <w:rFonts w:cs="TimesNewRomanPS-BoldMT"/>
          <w:i/>
          <w:iCs/>
          <w:sz w:val="16"/>
          <w:szCs w:val="16"/>
          <w:lang w:val="en-US"/>
        </w:rPr>
      </w:pPr>
      <w:r w:rsidRPr="00F8256E">
        <w:rPr>
          <w:rStyle w:val="FootnoteReference"/>
          <w:i/>
          <w:iCs/>
          <w:sz w:val="16"/>
          <w:szCs w:val="16"/>
        </w:rPr>
        <w:footnoteRef/>
      </w:r>
      <w:r w:rsidRPr="00F8256E">
        <w:rPr>
          <w:i/>
          <w:iCs/>
          <w:sz w:val="16"/>
          <w:szCs w:val="16"/>
        </w:rPr>
        <w:t xml:space="preserve"> </w:t>
      </w:r>
      <w:r w:rsidRPr="00F8256E">
        <w:rPr>
          <w:rFonts w:cs="TimesNewRomanPS-BoldMT"/>
          <w:sz w:val="16"/>
          <w:szCs w:val="16"/>
          <w:lang w:val="en-US"/>
        </w:rPr>
        <w:t xml:space="preserve">Human Rights Council, </w:t>
      </w:r>
      <w:r>
        <w:rPr>
          <w:rFonts w:cs="TimesNewRomanPS-BoldMT"/>
          <w:sz w:val="16"/>
          <w:szCs w:val="16"/>
          <w:lang w:val="en-US"/>
        </w:rPr>
        <w:t>22</w:t>
      </w:r>
      <w:r w:rsidRPr="00DB409C">
        <w:rPr>
          <w:rFonts w:cs="TimesNewRomanPS-BoldMT"/>
          <w:sz w:val="16"/>
          <w:szCs w:val="16"/>
          <w:vertAlign w:val="superscript"/>
          <w:lang w:val="en-US"/>
        </w:rPr>
        <w:t>nd</w:t>
      </w:r>
      <w:r>
        <w:rPr>
          <w:rFonts w:cs="TimesNewRomanPS-BoldMT"/>
          <w:sz w:val="16"/>
          <w:szCs w:val="16"/>
          <w:lang w:val="en-US"/>
        </w:rPr>
        <w:t xml:space="preserve"> Session, </w:t>
      </w:r>
      <w:r w:rsidRPr="00F8256E">
        <w:rPr>
          <w:rFonts w:cs="TimesNewRomanPS-BoldMT"/>
          <w:i/>
          <w:iCs/>
          <w:sz w:val="16"/>
          <w:szCs w:val="16"/>
          <w:lang w:val="en-US"/>
        </w:rPr>
        <w:t>Report of the Independent International Commission of Inquiry on the Syrian Arab</w:t>
      </w:r>
    </w:p>
    <w:p w:rsidR="00A12D55" w:rsidRPr="00F8256E" w:rsidRDefault="00A12D55" w:rsidP="00F97D5B">
      <w:pPr>
        <w:pStyle w:val="FootnoteText"/>
        <w:rPr>
          <w:i/>
          <w:iCs/>
          <w:sz w:val="16"/>
          <w:szCs w:val="16"/>
        </w:rPr>
      </w:pPr>
      <w:r w:rsidRPr="00F8256E">
        <w:rPr>
          <w:rFonts w:cs="TimesNewRomanPS-BoldMT"/>
          <w:i/>
          <w:iCs/>
          <w:sz w:val="16"/>
          <w:szCs w:val="16"/>
          <w:lang w:val="en-US"/>
        </w:rPr>
        <w:t>Republic, February 2013</w:t>
      </w:r>
    </w:p>
  </w:footnote>
  <w:footnote w:id="98">
    <w:p w:rsidR="00A12D55" w:rsidRPr="00711213" w:rsidRDefault="00A12D55" w:rsidP="00A046B4">
      <w:pPr>
        <w:pStyle w:val="FootnoteText"/>
        <w:rPr>
          <w:i/>
          <w:iCs/>
          <w:sz w:val="16"/>
          <w:szCs w:val="16"/>
        </w:rPr>
      </w:pPr>
      <w:r w:rsidRPr="00F8256E">
        <w:rPr>
          <w:rStyle w:val="FootnoteReference"/>
          <w:i/>
          <w:iCs/>
          <w:sz w:val="16"/>
          <w:szCs w:val="16"/>
        </w:rPr>
        <w:footnoteRef/>
      </w:r>
      <w:r w:rsidRPr="00F8256E">
        <w:rPr>
          <w:i/>
          <w:iCs/>
          <w:sz w:val="16"/>
          <w:szCs w:val="16"/>
        </w:rPr>
        <w:t xml:space="preserve"> </w:t>
      </w:r>
      <w:r w:rsidRPr="00F8256E">
        <w:rPr>
          <w:rFonts w:cs="Times New Roman"/>
          <w:sz w:val="16"/>
          <w:szCs w:val="16"/>
        </w:rPr>
        <w:t xml:space="preserve">Assessment Working Group for North Syria, </w:t>
      </w:r>
      <w:r w:rsidRPr="00F8256E">
        <w:rPr>
          <w:rFonts w:cs="Times New Roman"/>
          <w:i/>
          <w:iCs/>
          <w:sz w:val="16"/>
          <w:szCs w:val="16"/>
        </w:rPr>
        <w:t>Joint Rapid Needs Assessment of Syria II Final Report</w:t>
      </w:r>
      <w:r w:rsidRPr="00F8256E">
        <w:rPr>
          <w:rFonts w:cs="Times New Roman"/>
          <w:sz w:val="16"/>
          <w:szCs w:val="16"/>
        </w:rPr>
        <w:t>, 22 May 2013</w:t>
      </w:r>
    </w:p>
  </w:footnote>
  <w:footnote w:id="99">
    <w:p w:rsidR="00A12D55" w:rsidRPr="00711213" w:rsidRDefault="00A12D55" w:rsidP="00AA6C53">
      <w:pPr>
        <w:pStyle w:val="FootnoteText"/>
        <w:rPr>
          <w:i/>
          <w:iCs/>
          <w:sz w:val="16"/>
          <w:szCs w:val="16"/>
        </w:rPr>
      </w:pPr>
      <w:r w:rsidRPr="004053B1">
        <w:rPr>
          <w:rStyle w:val="FootnoteReference"/>
          <w:sz w:val="16"/>
          <w:szCs w:val="16"/>
        </w:rPr>
        <w:footnoteRef/>
      </w:r>
      <w:r w:rsidRPr="004053B1">
        <w:rPr>
          <w:sz w:val="16"/>
          <w:szCs w:val="16"/>
        </w:rPr>
        <w:t xml:space="preserve"> Human Rights Council, 23</w:t>
      </w:r>
      <w:r w:rsidRPr="004053B1">
        <w:rPr>
          <w:sz w:val="16"/>
          <w:szCs w:val="16"/>
          <w:vertAlign w:val="superscript"/>
        </w:rPr>
        <w:t>rd</w:t>
      </w:r>
      <w:r w:rsidRPr="004053B1">
        <w:rPr>
          <w:sz w:val="16"/>
          <w:szCs w:val="16"/>
        </w:rPr>
        <w:t xml:space="preserve"> Session,</w:t>
      </w:r>
      <w:r w:rsidRPr="004053B1">
        <w:rPr>
          <w:i/>
          <w:iCs/>
          <w:sz w:val="16"/>
          <w:szCs w:val="16"/>
        </w:rPr>
        <w:t xml:space="preserve"> Report of the Independent International Commission of Inquiry on the Syrian Arab, </w:t>
      </w:r>
      <w:r w:rsidRPr="004053B1">
        <w:rPr>
          <w:sz w:val="16"/>
          <w:szCs w:val="16"/>
        </w:rPr>
        <w:t>June 2013</w:t>
      </w:r>
    </w:p>
  </w:footnote>
  <w:footnote w:id="100">
    <w:p w:rsidR="00A12D55" w:rsidRPr="004053B1" w:rsidRDefault="00A12D55" w:rsidP="00AA6C53">
      <w:pPr>
        <w:pStyle w:val="FootnoteText"/>
        <w:rPr>
          <w:sz w:val="16"/>
          <w:szCs w:val="16"/>
        </w:rPr>
      </w:pPr>
      <w:r w:rsidRPr="004053B1">
        <w:rPr>
          <w:rStyle w:val="FootnoteReference"/>
          <w:sz w:val="16"/>
          <w:szCs w:val="16"/>
        </w:rPr>
        <w:footnoteRef/>
      </w:r>
      <w:r w:rsidRPr="004053B1">
        <w:rPr>
          <w:sz w:val="16"/>
          <w:szCs w:val="16"/>
        </w:rPr>
        <w:t xml:space="preserve"> Global Protection Cluster</w:t>
      </w:r>
      <w:r>
        <w:rPr>
          <w:i/>
          <w:iCs/>
          <w:sz w:val="16"/>
          <w:szCs w:val="16"/>
        </w:rPr>
        <w:t>, The Hidden Cost of War: Gender-b</w:t>
      </w:r>
      <w:r w:rsidRPr="00711213">
        <w:rPr>
          <w:i/>
          <w:iCs/>
          <w:sz w:val="16"/>
          <w:szCs w:val="16"/>
        </w:rPr>
        <w:t>ased Violence</w:t>
      </w:r>
      <w:r>
        <w:rPr>
          <w:i/>
          <w:iCs/>
          <w:sz w:val="16"/>
          <w:szCs w:val="16"/>
        </w:rPr>
        <w:t xml:space="preserve">, </w:t>
      </w:r>
      <w:r w:rsidRPr="004053B1">
        <w:rPr>
          <w:sz w:val="16"/>
          <w:szCs w:val="16"/>
        </w:rPr>
        <w:t>May 2013</w:t>
      </w:r>
    </w:p>
  </w:footnote>
  <w:footnote w:id="101">
    <w:p w:rsidR="00A12D55" w:rsidRPr="00711213" w:rsidRDefault="00A12D55" w:rsidP="00F97D5B">
      <w:pPr>
        <w:pStyle w:val="FootnoteText"/>
        <w:rPr>
          <w:i/>
          <w:iCs/>
          <w:sz w:val="16"/>
          <w:szCs w:val="16"/>
        </w:rPr>
      </w:pPr>
      <w:r w:rsidRPr="00711213">
        <w:rPr>
          <w:rStyle w:val="FootnoteReference"/>
          <w:i/>
          <w:iCs/>
          <w:sz w:val="16"/>
          <w:szCs w:val="16"/>
        </w:rPr>
        <w:footnoteRef/>
      </w:r>
      <w:r w:rsidRPr="00711213">
        <w:rPr>
          <w:i/>
          <w:iCs/>
          <w:sz w:val="16"/>
          <w:szCs w:val="16"/>
        </w:rPr>
        <w:t xml:space="preserve"> </w:t>
      </w:r>
      <w:r>
        <w:rPr>
          <w:i/>
          <w:iCs/>
          <w:sz w:val="16"/>
          <w:szCs w:val="16"/>
        </w:rPr>
        <w:t>Ibid</w:t>
      </w:r>
    </w:p>
  </w:footnote>
  <w:footnote w:id="102">
    <w:p w:rsidR="00A12D55" w:rsidRPr="00711213" w:rsidRDefault="00A12D55" w:rsidP="00A046B4">
      <w:pPr>
        <w:pStyle w:val="FootnoteText"/>
        <w:rPr>
          <w:i/>
          <w:iCs/>
          <w:sz w:val="16"/>
          <w:szCs w:val="16"/>
        </w:rPr>
      </w:pPr>
      <w:r w:rsidRPr="004053B1">
        <w:rPr>
          <w:rStyle w:val="FootnoteReference"/>
          <w:sz w:val="16"/>
          <w:szCs w:val="16"/>
        </w:rPr>
        <w:footnoteRef/>
      </w:r>
      <w:r w:rsidRPr="004053B1">
        <w:rPr>
          <w:sz w:val="16"/>
          <w:szCs w:val="16"/>
        </w:rPr>
        <w:t xml:space="preserve"> Save the Children</w:t>
      </w:r>
      <w:r>
        <w:rPr>
          <w:i/>
          <w:iCs/>
          <w:sz w:val="16"/>
          <w:szCs w:val="16"/>
        </w:rPr>
        <w:t xml:space="preserve">, Childhood Under Fire: The Impact of Two Years of Conflict in Syria, </w:t>
      </w:r>
      <w:r w:rsidRPr="004053B1">
        <w:rPr>
          <w:sz w:val="16"/>
          <w:szCs w:val="16"/>
        </w:rPr>
        <w:t>March 2013</w:t>
      </w:r>
    </w:p>
  </w:footnote>
  <w:footnote w:id="103">
    <w:p w:rsidR="00A12D55" w:rsidRPr="00A046B4" w:rsidRDefault="00A12D55" w:rsidP="00B763EF">
      <w:pPr>
        <w:pStyle w:val="FootnoteText"/>
        <w:rPr>
          <w:i/>
          <w:iCs/>
          <w:sz w:val="16"/>
          <w:szCs w:val="16"/>
        </w:rPr>
      </w:pPr>
      <w:r w:rsidRPr="00380A79">
        <w:rPr>
          <w:rStyle w:val="FootnoteReference"/>
          <w:i/>
          <w:iCs/>
          <w:sz w:val="16"/>
          <w:szCs w:val="16"/>
        </w:rPr>
        <w:footnoteRef/>
      </w:r>
      <w:r w:rsidRPr="00380A79">
        <w:rPr>
          <w:i/>
          <w:iCs/>
          <w:sz w:val="16"/>
          <w:szCs w:val="16"/>
        </w:rPr>
        <w:t xml:space="preserve"> </w:t>
      </w:r>
      <w:proofErr w:type="spellStart"/>
      <w:proofErr w:type="gramStart"/>
      <w:r w:rsidRPr="00380A79">
        <w:rPr>
          <w:i/>
          <w:iCs/>
          <w:sz w:val="16"/>
          <w:szCs w:val="16"/>
        </w:rPr>
        <w:t>AlertNet</w:t>
      </w:r>
      <w:proofErr w:type="spellEnd"/>
      <w:r w:rsidRPr="00380A79">
        <w:rPr>
          <w:i/>
          <w:iCs/>
          <w:sz w:val="16"/>
          <w:szCs w:val="16"/>
        </w:rPr>
        <w:t xml:space="preserve">; “Child marriage on rise among Syrian refugee- aid groups”; 12 April 2013 (advocate for women and </w:t>
      </w:r>
      <w:proofErr w:type="spellStart"/>
      <w:r w:rsidRPr="00380A79">
        <w:rPr>
          <w:i/>
          <w:iCs/>
          <w:sz w:val="16"/>
          <w:szCs w:val="16"/>
        </w:rPr>
        <w:t>chlidren’s</w:t>
      </w:r>
      <w:proofErr w:type="spellEnd"/>
      <w:r w:rsidRPr="00380A79">
        <w:rPr>
          <w:i/>
          <w:iCs/>
          <w:sz w:val="16"/>
          <w:szCs w:val="16"/>
        </w:rPr>
        <w:t xml:space="preserve"> rights at Refugee International reports.</w:t>
      </w:r>
      <w:proofErr w:type="gramEnd"/>
      <w:r w:rsidRPr="00A046B4">
        <w:rPr>
          <w:i/>
          <w:iCs/>
          <w:sz w:val="16"/>
          <w:szCs w:val="16"/>
        </w:rPr>
        <w:t xml:space="preserve"> </w:t>
      </w:r>
    </w:p>
  </w:footnote>
  <w:footnote w:id="104">
    <w:p w:rsidR="00A12D55" w:rsidRPr="00A046B4" w:rsidRDefault="00A12D55">
      <w:pPr>
        <w:pStyle w:val="FootnoteText"/>
        <w:rPr>
          <w:i/>
          <w:iCs/>
          <w:sz w:val="16"/>
          <w:szCs w:val="16"/>
        </w:rPr>
      </w:pPr>
      <w:r w:rsidRPr="004053B1">
        <w:rPr>
          <w:rStyle w:val="FootnoteReference"/>
          <w:sz w:val="16"/>
          <w:szCs w:val="16"/>
        </w:rPr>
        <w:footnoteRef/>
      </w:r>
      <w:r w:rsidRPr="004053B1">
        <w:rPr>
          <w:sz w:val="16"/>
          <w:szCs w:val="16"/>
        </w:rPr>
        <w:t xml:space="preserve"> Human Rights Council, 23</w:t>
      </w:r>
      <w:r w:rsidRPr="004053B1">
        <w:rPr>
          <w:sz w:val="16"/>
          <w:szCs w:val="16"/>
          <w:vertAlign w:val="superscript"/>
        </w:rPr>
        <w:t>rd</w:t>
      </w:r>
      <w:r w:rsidRPr="004053B1">
        <w:rPr>
          <w:sz w:val="16"/>
          <w:szCs w:val="16"/>
        </w:rPr>
        <w:t xml:space="preserve"> Session</w:t>
      </w:r>
      <w:r w:rsidRPr="004053B1">
        <w:rPr>
          <w:i/>
          <w:iCs/>
          <w:sz w:val="16"/>
          <w:szCs w:val="16"/>
        </w:rPr>
        <w:t xml:space="preserve">, Report of the Independent International Commission of Inquiry on the Syrian Arab, </w:t>
      </w:r>
      <w:r w:rsidRPr="004053B1">
        <w:rPr>
          <w:sz w:val="16"/>
          <w:szCs w:val="16"/>
        </w:rPr>
        <w:t>June 2013</w:t>
      </w:r>
    </w:p>
  </w:footnote>
  <w:footnote w:id="105">
    <w:p w:rsidR="00A12D55" w:rsidRPr="00A046B4" w:rsidRDefault="00A12D55" w:rsidP="00A046B4">
      <w:pPr>
        <w:pStyle w:val="FootnoteText"/>
        <w:rPr>
          <w:sz w:val="16"/>
          <w:szCs w:val="16"/>
        </w:rPr>
      </w:pPr>
      <w:r w:rsidRPr="00A046B4">
        <w:rPr>
          <w:rStyle w:val="FootnoteReference"/>
          <w:sz w:val="16"/>
          <w:szCs w:val="16"/>
        </w:rPr>
        <w:footnoteRef/>
      </w:r>
      <w:r w:rsidRPr="00A046B4">
        <w:rPr>
          <w:sz w:val="16"/>
          <w:szCs w:val="16"/>
        </w:rPr>
        <w:t xml:space="preserve"> </w:t>
      </w:r>
      <w:r w:rsidRPr="00A046B4">
        <w:rPr>
          <w:rFonts w:cs="Times New Roman"/>
          <w:sz w:val="16"/>
          <w:szCs w:val="16"/>
        </w:rPr>
        <w:t xml:space="preserve">Assessment Working Group for North Syria, </w:t>
      </w:r>
      <w:r w:rsidRPr="00A046B4">
        <w:rPr>
          <w:rFonts w:cs="Times New Roman"/>
          <w:i/>
          <w:iCs/>
          <w:sz w:val="16"/>
          <w:szCs w:val="16"/>
        </w:rPr>
        <w:t>Joint Rapid Needs Assessment of Syria II Final Report</w:t>
      </w:r>
      <w:r w:rsidRPr="00A046B4">
        <w:rPr>
          <w:rFonts w:cs="Times New Roman"/>
          <w:sz w:val="16"/>
          <w:szCs w:val="16"/>
        </w:rPr>
        <w:t>, 22 May 2013</w:t>
      </w:r>
    </w:p>
  </w:footnote>
  <w:footnote w:id="106">
    <w:p w:rsidR="00A12D55" w:rsidRPr="00A046B4" w:rsidRDefault="00A12D55" w:rsidP="00F97D5B">
      <w:pPr>
        <w:pStyle w:val="FootnoteText"/>
        <w:rPr>
          <w:i/>
          <w:iCs/>
          <w:sz w:val="16"/>
          <w:szCs w:val="16"/>
          <w:lang w:val="en-US"/>
        </w:rPr>
      </w:pPr>
      <w:r w:rsidRPr="00A046B4">
        <w:rPr>
          <w:rStyle w:val="FootnoteReference"/>
          <w:i/>
          <w:iCs/>
          <w:sz w:val="16"/>
          <w:szCs w:val="16"/>
        </w:rPr>
        <w:footnoteRef/>
      </w:r>
      <w:r w:rsidRPr="00A046B4">
        <w:rPr>
          <w:i/>
          <w:iCs/>
          <w:sz w:val="16"/>
          <w:szCs w:val="16"/>
        </w:rPr>
        <w:t xml:space="preserve"> </w:t>
      </w:r>
      <w:r w:rsidRPr="00711213">
        <w:rPr>
          <w:i/>
          <w:iCs/>
          <w:sz w:val="16"/>
          <w:szCs w:val="16"/>
        </w:rPr>
        <w:t>G</w:t>
      </w:r>
      <w:r>
        <w:rPr>
          <w:i/>
          <w:iCs/>
          <w:sz w:val="16"/>
          <w:szCs w:val="16"/>
        </w:rPr>
        <w:t>lobal Protection Cluster, The Hidden Cost of War: Gender-b</w:t>
      </w:r>
      <w:r w:rsidRPr="00711213">
        <w:rPr>
          <w:i/>
          <w:iCs/>
          <w:sz w:val="16"/>
          <w:szCs w:val="16"/>
        </w:rPr>
        <w:t>ased Violence</w:t>
      </w:r>
      <w:r>
        <w:rPr>
          <w:i/>
          <w:iCs/>
          <w:sz w:val="16"/>
          <w:szCs w:val="16"/>
        </w:rPr>
        <w:t>, May 2013</w:t>
      </w:r>
    </w:p>
  </w:footnote>
  <w:footnote w:id="107">
    <w:p w:rsidR="00A12D55" w:rsidRPr="00A046B4" w:rsidRDefault="00A12D55" w:rsidP="00B763EF">
      <w:pPr>
        <w:pStyle w:val="FootnoteText"/>
        <w:rPr>
          <w:i/>
          <w:iCs/>
          <w:sz w:val="16"/>
          <w:szCs w:val="16"/>
        </w:rPr>
      </w:pPr>
      <w:r w:rsidRPr="00380A79">
        <w:rPr>
          <w:rStyle w:val="FootnoteReference"/>
          <w:i/>
          <w:iCs/>
          <w:sz w:val="16"/>
          <w:szCs w:val="16"/>
        </w:rPr>
        <w:footnoteRef/>
      </w:r>
      <w:r w:rsidRPr="00380A79">
        <w:rPr>
          <w:i/>
          <w:iCs/>
          <w:sz w:val="16"/>
          <w:szCs w:val="16"/>
        </w:rPr>
        <w:t xml:space="preserve"> HRW</w:t>
      </w:r>
    </w:p>
  </w:footnote>
  <w:footnote w:id="108">
    <w:p w:rsidR="00A12D55" w:rsidRPr="00A046B4" w:rsidRDefault="00A12D55" w:rsidP="009026E5">
      <w:pPr>
        <w:pStyle w:val="FootnoteText"/>
        <w:rPr>
          <w:sz w:val="16"/>
          <w:szCs w:val="16"/>
        </w:rPr>
      </w:pPr>
      <w:r w:rsidRPr="00A046B4">
        <w:rPr>
          <w:rStyle w:val="FootnoteReference"/>
          <w:i/>
          <w:iCs/>
          <w:sz w:val="16"/>
          <w:szCs w:val="16"/>
        </w:rPr>
        <w:footnoteRef/>
      </w:r>
      <w:r w:rsidRPr="00A046B4">
        <w:rPr>
          <w:i/>
          <w:iCs/>
          <w:sz w:val="16"/>
          <w:szCs w:val="16"/>
        </w:rPr>
        <w:t xml:space="preserve"> </w:t>
      </w:r>
      <w:r w:rsidRPr="00711213">
        <w:rPr>
          <w:i/>
          <w:iCs/>
          <w:sz w:val="16"/>
          <w:szCs w:val="16"/>
        </w:rPr>
        <w:t>G</w:t>
      </w:r>
      <w:r>
        <w:rPr>
          <w:i/>
          <w:iCs/>
          <w:sz w:val="16"/>
          <w:szCs w:val="16"/>
        </w:rPr>
        <w:t>lobal Protection Cluster, The Hidden Cost of War: Gender-b</w:t>
      </w:r>
      <w:r w:rsidRPr="00711213">
        <w:rPr>
          <w:i/>
          <w:iCs/>
          <w:sz w:val="16"/>
          <w:szCs w:val="16"/>
        </w:rPr>
        <w:t>ased Violence</w:t>
      </w:r>
      <w:r>
        <w:rPr>
          <w:i/>
          <w:iCs/>
          <w:sz w:val="16"/>
          <w:szCs w:val="16"/>
        </w:rPr>
        <w:t>, May 2013</w:t>
      </w:r>
    </w:p>
  </w:footnote>
  <w:footnote w:id="109">
    <w:p w:rsidR="00A12D55" w:rsidRPr="00A046B4" w:rsidRDefault="00A12D55" w:rsidP="00AA6C53">
      <w:pPr>
        <w:pStyle w:val="FootnoteText"/>
        <w:rPr>
          <w:i/>
          <w:iCs/>
          <w:sz w:val="16"/>
          <w:szCs w:val="16"/>
          <w:lang w:val="en-US"/>
        </w:rPr>
      </w:pPr>
      <w:r w:rsidRPr="00A046B4">
        <w:rPr>
          <w:rStyle w:val="FootnoteReference"/>
          <w:i/>
          <w:iCs/>
          <w:sz w:val="16"/>
          <w:szCs w:val="16"/>
        </w:rPr>
        <w:footnoteRef/>
      </w:r>
      <w:r w:rsidRPr="00A046B4">
        <w:rPr>
          <w:i/>
          <w:iCs/>
          <w:sz w:val="16"/>
          <w:szCs w:val="16"/>
        </w:rPr>
        <w:t xml:space="preserve"> </w:t>
      </w:r>
      <w:r w:rsidRPr="00950E2F">
        <w:rPr>
          <w:i/>
          <w:iCs/>
          <w:sz w:val="16"/>
          <w:szCs w:val="16"/>
        </w:rPr>
        <w:t xml:space="preserve">U.N. </w:t>
      </w:r>
      <w:r w:rsidRPr="00950E2F">
        <w:rPr>
          <w:i/>
          <w:iCs/>
          <w:sz w:val="16"/>
          <w:szCs w:val="16"/>
          <w:lang w:val="en-US"/>
        </w:rPr>
        <w:t>Committee on the Rights of the Child, 58</w:t>
      </w:r>
      <w:r w:rsidRPr="00950E2F">
        <w:rPr>
          <w:i/>
          <w:iCs/>
          <w:sz w:val="16"/>
          <w:szCs w:val="16"/>
          <w:vertAlign w:val="superscript"/>
          <w:lang w:val="en-US"/>
        </w:rPr>
        <w:t>th</w:t>
      </w:r>
      <w:r w:rsidRPr="00950E2F">
        <w:rPr>
          <w:i/>
          <w:iCs/>
          <w:sz w:val="16"/>
          <w:szCs w:val="16"/>
          <w:lang w:val="en-US"/>
        </w:rPr>
        <w:t xml:space="preserve"> Session, </w:t>
      </w:r>
      <w:r w:rsidRPr="00950E2F">
        <w:rPr>
          <w:i/>
          <w:iCs/>
          <w:sz w:val="16"/>
          <w:szCs w:val="16"/>
        </w:rPr>
        <w:t xml:space="preserve">Consideration of reports submitted by States parties under article 44 of the Convention, </w:t>
      </w:r>
      <w:r w:rsidRPr="00950E2F">
        <w:rPr>
          <w:i/>
          <w:iCs/>
          <w:sz w:val="16"/>
          <w:szCs w:val="16"/>
          <w:lang w:val="en-US"/>
        </w:rPr>
        <w:t xml:space="preserve">Concluding Observations: Syrian Arab Republic, </w:t>
      </w:r>
      <w:r w:rsidRPr="00950E2F">
        <w:rPr>
          <w:sz w:val="16"/>
          <w:szCs w:val="16"/>
          <w:lang w:val="en-US"/>
        </w:rPr>
        <w:t>2011</w:t>
      </w:r>
    </w:p>
  </w:footnote>
  <w:footnote w:id="110">
    <w:p w:rsidR="00A12D55" w:rsidRPr="00A303B1" w:rsidRDefault="00A12D55" w:rsidP="00380A79">
      <w:pPr>
        <w:autoSpaceDE w:val="0"/>
        <w:autoSpaceDN w:val="0"/>
        <w:adjustRightInd w:val="0"/>
        <w:spacing w:after="0" w:line="240" w:lineRule="auto"/>
        <w:rPr>
          <w:rFonts w:cs="Times New Roman"/>
          <w:sz w:val="16"/>
          <w:szCs w:val="16"/>
        </w:rPr>
      </w:pPr>
      <w:r w:rsidRPr="00A303B1">
        <w:rPr>
          <w:rStyle w:val="FootnoteReference"/>
          <w:i/>
          <w:iCs/>
          <w:sz w:val="16"/>
          <w:szCs w:val="16"/>
        </w:rPr>
        <w:footnoteRef/>
      </w:r>
      <w:r w:rsidRPr="00A303B1">
        <w:rPr>
          <w:i/>
          <w:iCs/>
          <w:sz w:val="16"/>
          <w:szCs w:val="16"/>
        </w:rPr>
        <w:t xml:space="preserve"> </w:t>
      </w:r>
      <w:r w:rsidRPr="00A303B1">
        <w:rPr>
          <w:rFonts w:cs="TimesNewRomanPS-BoldMT"/>
          <w:sz w:val="16"/>
          <w:szCs w:val="16"/>
          <w:lang w:val="en-US"/>
        </w:rPr>
        <w:t xml:space="preserve">UNICEF &amp; SCFA , </w:t>
      </w:r>
      <w:r w:rsidRPr="00A303B1">
        <w:rPr>
          <w:rFonts w:cs="TimesNewRomanPS-BoldMT"/>
          <w:i/>
          <w:iCs/>
          <w:sz w:val="16"/>
          <w:szCs w:val="16"/>
          <w:lang w:val="en-US"/>
        </w:rPr>
        <w:t>Situation Analysis of Childhood Status in Syria</w:t>
      </w:r>
      <w:r w:rsidRPr="00A303B1">
        <w:rPr>
          <w:rFonts w:cs="TimesNewRomanPS-BoldMT"/>
          <w:sz w:val="16"/>
          <w:szCs w:val="16"/>
          <w:lang w:val="en-US"/>
        </w:rPr>
        <w:t>, 2008</w:t>
      </w:r>
    </w:p>
  </w:footnote>
  <w:footnote w:id="111">
    <w:p w:rsidR="00A12D55" w:rsidRPr="0016387D" w:rsidRDefault="00A12D55" w:rsidP="0016387D">
      <w:pPr>
        <w:spacing w:after="0" w:line="240" w:lineRule="auto"/>
        <w:rPr>
          <w:rFonts w:cs="Times New Roman"/>
          <w:sz w:val="16"/>
          <w:szCs w:val="16"/>
        </w:rPr>
      </w:pPr>
      <w:r w:rsidRPr="0016387D">
        <w:rPr>
          <w:rStyle w:val="FootnoteReference"/>
          <w:sz w:val="16"/>
          <w:szCs w:val="16"/>
        </w:rPr>
        <w:footnoteRef/>
      </w:r>
      <w:r w:rsidRPr="0016387D">
        <w:rPr>
          <w:sz w:val="16"/>
          <w:szCs w:val="16"/>
        </w:rPr>
        <w:t xml:space="preserve"> </w:t>
      </w:r>
      <w:r w:rsidRPr="004423A3">
        <w:rPr>
          <w:rFonts w:cs="Times New Roman"/>
          <w:sz w:val="16"/>
          <w:szCs w:val="16"/>
        </w:rPr>
        <w:t xml:space="preserve">UNFPA &amp; SCFA, </w:t>
      </w:r>
      <w:r w:rsidRPr="004423A3">
        <w:rPr>
          <w:rFonts w:cs="Times New Roman"/>
          <w:i/>
          <w:iCs/>
          <w:sz w:val="16"/>
          <w:szCs w:val="16"/>
        </w:rPr>
        <w:t>Quantitative and Qualitative Survey Research on Domestic</w:t>
      </w:r>
      <w:r>
        <w:rPr>
          <w:rFonts w:cs="Times New Roman"/>
          <w:i/>
          <w:iCs/>
          <w:sz w:val="16"/>
          <w:szCs w:val="16"/>
        </w:rPr>
        <w:t xml:space="preserve"> Violence against Women in </w:t>
      </w:r>
      <w:proofErr w:type="spellStart"/>
      <w:r>
        <w:rPr>
          <w:rFonts w:cs="Times New Roman"/>
          <w:i/>
          <w:iCs/>
          <w:sz w:val="16"/>
          <w:szCs w:val="16"/>
        </w:rPr>
        <w:t>Syri</w:t>
      </w:r>
      <w:proofErr w:type="spellEnd"/>
      <w:r>
        <w:rPr>
          <w:rFonts w:cs="Times New Roman"/>
          <w:i/>
          <w:iCs/>
          <w:sz w:val="16"/>
          <w:szCs w:val="16"/>
        </w:rPr>
        <w:t>, 2012</w:t>
      </w:r>
    </w:p>
  </w:footnote>
  <w:footnote w:id="112">
    <w:p w:rsidR="00A12D55" w:rsidRPr="00A303B1" w:rsidRDefault="00A12D55" w:rsidP="00F97D5B">
      <w:pPr>
        <w:pStyle w:val="FootnoteText"/>
        <w:rPr>
          <w:i/>
          <w:iCs/>
          <w:sz w:val="16"/>
          <w:szCs w:val="16"/>
          <w:lang w:val="en-US"/>
        </w:rPr>
      </w:pPr>
      <w:r w:rsidRPr="00A303B1">
        <w:rPr>
          <w:rStyle w:val="FootnoteReference"/>
          <w:i/>
          <w:iCs/>
          <w:sz w:val="16"/>
          <w:szCs w:val="16"/>
        </w:rPr>
        <w:footnoteRef/>
      </w:r>
      <w:r w:rsidRPr="00A303B1">
        <w:rPr>
          <w:i/>
          <w:iCs/>
          <w:sz w:val="16"/>
          <w:szCs w:val="16"/>
        </w:rPr>
        <w:t xml:space="preserve"> Global Protection Cluster, The Hidden Cost of War: Gender-based Violence, May 2013</w:t>
      </w:r>
      <w:r w:rsidRPr="00A303B1">
        <w:rPr>
          <w:i/>
          <w:iCs/>
          <w:sz w:val="16"/>
          <w:szCs w:val="16"/>
          <w:lang w:val="en-US"/>
        </w:rPr>
        <w:t xml:space="preserve"> </w:t>
      </w:r>
    </w:p>
  </w:footnote>
  <w:footnote w:id="113">
    <w:p w:rsidR="00A12D55" w:rsidRPr="00A303B1" w:rsidRDefault="00A12D55" w:rsidP="004F5E7F">
      <w:pPr>
        <w:pStyle w:val="FootnoteText"/>
        <w:rPr>
          <w:i/>
          <w:iCs/>
          <w:sz w:val="16"/>
          <w:szCs w:val="16"/>
        </w:rPr>
      </w:pPr>
      <w:r w:rsidRPr="00380A79">
        <w:rPr>
          <w:rStyle w:val="FootnoteReference"/>
          <w:i/>
          <w:iCs/>
          <w:sz w:val="16"/>
          <w:szCs w:val="16"/>
        </w:rPr>
        <w:footnoteRef/>
      </w:r>
      <w:r w:rsidRPr="00380A79">
        <w:rPr>
          <w:i/>
          <w:iCs/>
          <w:sz w:val="16"/>
          <w:szCs w:val="16"/>
        </w:rPr>
        <w:t xml:space="preserve"> </w:t>
      </w:r>
      <w:proofErr w:type="spellStart"/>
      <w:r>
        <w:rPr>
          <w:i/>
          <w:iCs/>
          <w:sz w:val="16"/>
          <w:szCs w:val="16"/>
          <w:lang w:val="en-US"/>
        </w:rPr>
        <w:t>AlertNet</w:t>
      </w:r>
      <w:proofErr w:type="spellEnd"/>
      <w:r>
        <w:rPr>
          <w:i/>
          <w:iCs/>
          <w:sz w:val="16"/>
          <w:szCs w:val="16"/>
          <w:lang w:val="en-US"/>
        </w:rPr>
        <w:t xml:space="preserve"> </w:t>
      </w:r>
      <w:r w:rsidRPr="00380A79">
        <w:rPr>
          <w:i/>
          <w:iCs/>
          <w:sz w:val="16"/>
          <w:szCs w:val="16"/>
          <w:lang w:val="en-US"/>
        </w:rPr>
        <w:t>Child marriage on rise among Syrian refugee- report  aid  groups, 12 April 2013</w:t>
      </w:r>
    </w:p>
  </w:footnote>
  <w:footnote w:id="114">
    <w:p w:rsidR="00A12D55" w:rsidRPr="001D0552" w:rsidRDefault="00A12D55" w:rsidP="00380A79">
      <w:pPr>
        <w:pStyle w:val="FootnoteText"/>
        <w:rPr>
          <w:sz w:val="16"/>
          <w:szCs w:val="16"/>
        </w:rPr>
      </w:pPr>
      <w:r w:rsidRPr="001D0552">
        <w:rPr>
          <w:rStyle w:val="FootnoteReference"/>
          <w:sz w:val="16"/>
          <w:szCs w:val="16"/>
        </w:rPr>
        <w:footnoteRef/>
      </w:r>
      <w:r w:rsidRPr="001D0552">
        <w:rPr>
          <w:sz w:val="16"/>
          <w:szCs w:val="16"/>
        </w:rPr>
        <w:t xml:space="preserve"> </w:t>
      </w:r>
      <w:r>
        <w:rPr>
          <w:sz w:val="16"/>
          <w:szCs w:val="16"/>
        </w:rPr>
        <w:t>Interagency Capacity Building Working Group Syria, Background Information, 2010</w:t>
      </w:r>
    </w:p>
  </w:footnote>
  <w:footnote w:id="115">
    <w:p w:rsidR="00A12D55" w:rsidRPr="007F5D57" w:rsidRDefault="00A12D55">
      <w:pPr>
        <w:pStyle w:val="FootnoteText"/>
        <w:rPr>
          <w:sz w:val="16"/>
          <w:szCs w:val="16"/>
        </w:rPr>
      </w:pPr>
      <w:r w:rsidRPr="00A303B1">
        <w:rPr>
          <w:rStyle w:val="FootnoteReference"/>
          <w:sz w:val="16"/>
          <w:szCs w:val="16"/>
        </w:rPr>
        <w:footnoteRef/>
      </w:r>
      <w:r w:rsidRPr="00A303B1">
        <w:rPr>
          <w:sz w:val="16"/>
          <w:szCs w:val="16"/>
        </w:rPr>
        <w:t xml:space="preserve"> </w:t>
      </w:r>
      <w:r w:rsidRPr="00A303B1">
        <w:rPr>
          <w:color w:val="000000"/>
          <w:sz w:val="16"/>
          <w:szCs w:val="16"/>
          <w:lang w:val="en"/>
        </w:rPr>
        <w:t>Adolescent and School Health</w:t>
      </w:r>
      <w:r w:rsidRPr="00A303B1">
        <w:rPr>
          <w:color w:val="000000"/>
          <w:sz w:val="16"/>
          <w:szCs w:val="16"/>
          <w:lang w:val="en"/>
        </w:rPr>
        <w:br/>
        <w:t>Centers for Disease Control and Prevention</w:t>
      </w:r>
      <w:r w:rsidRPr="00A303B1">
        <w:rPr>
          <w:sz w:val="16"/>
          <w:szCs w:val="16"/>
        </w:rPr>
        <w:t xml:space="preserve"> Global School-based School Survey, Syria Factsheet, 2010</w:t>
      </w:r>
    </w:p>
  </w:footnote>
  <w:footnote w:id="116">
    <w:p w:rsidR="00A12D55" w:rsidRPr="003D4671" w:rsidRDefault="00A12D55" w:rsidP="009808FC">
      <w:pPr>
        <w:pStyle w:val="FootnoteText"/>
        <w:rPr>
          <w:i/>
          <w:iCs/>
          <w:sz w:val="16"/>
          <w:szCs w:val="16"/>
        </w:rPr>
      </w:pPr>
      <w:r w:rsidRPr="004053B1">
        <w:rPr>
          <w:rStyle w:val="FootnoteReference"/>
          <w:sz w:val="16"/>
          <w:szCs w:val="16"/>
        </w:rPr>
        <w:footnoteRef/>
      </w:r>
      <w:r w:rsidRPr="004053B1">
        <w:rPr>
          <w:sz w:val="16"/>
          <w:szCs w:val="16"/>
        </w:rPr>
        <w:t xml:space="preserve"> </w:t>
      </w:r>
      <w:r w:rsidRPr="00912C40">
        <w:rPr>
          <w:sz w:val="16"/>
          <w:szCs w:val="16"/>
        </w:rPr>
        <w:t>U</w:t>
      </w:r>
      <w:r w:rsidRPr="00912C40">
        <w:rPr>
          <w:i/>
          <w:iCs/>
          <w:sz w:val="12"/>
          <w:szCs w:val="12"/>
        </w:rPr>
        <w:t>.</w:t>
      </w:r>
      <w:r w:rsidRPr="00950E2F">
        <w:rPr>
          <w:i/>
          <w:iCs/>
          <w:sz w:val="16"/>
          <w:szCs w:val="16"/>
        </w:rPr>
        <w:t xml:space="preserve">N. </w:t>
      </w:r>
      <w:r w:rsidRPr="00950E2F">
        <w:rPr>
          <w:i/>
          <w:iCs/>
          <w:sz w:val="16"/>
          <w:szCs w:val="16"/>
          <w:lang w:val="en-US"/>
        </w:rPr>
        <w:t>Committee on the Rights of the Child, 58</w:t>
      </w:r>
      <w:r w:rsidRPr="00950E2F">
        <w:rPr>
          <w:i/>
          <w:iCs/>
          <w:sz w:val="16"/>
          <w:szCs w:val="16"/>
          <w:vertAlign w:val="superscript"/>
          <w:lang w:val="en-US"/>
        </w:rPr>
        <w:t>th</w:t>
      </w:r>
      <w:r w:rsidRPr="00950E2F">
        <w:rPr>
          <w:i/>
          <w:iCs/>
          <w:sz w:val="16"/>
          <w:szCs w:val="16"/>
          <w:lang w:val="en-US"/>
        </w:rPr>
        <w:t xml:space="preserve"> Session, </w:t>
      </w:r>
      <w:r w:rsidRPr="00950E2F">
        <w:rPr>
          <w:i/>
          <w:iCs/>
          <w:sz w:val="16"/>
          <w:szCs w:val="16"/>
        </w:rPr>
        <w:t xml:space="preserve">Consideration of reports submitted by States parties under article 44 of the Convention, </w:t>
      </w:r>
      <w:r w:rsidRPr="00950E2F">
        <w:rPr>
          <w:i/>
          <w:iCs/>
          <w:sz w:val="16"/>
          <w:szCs w:val="16"/>
          <w:lang w:val="en-US"/>
        </w:rPr>
        <w:t xml:space="preserve">Concluding Observations: Syrian Arab Republic, </w:t>
      </w:r>
      <w:r w:rsidRPr="00950E2F">
        <w:rPr>
          <w:sz w:val="16"/>
          <w:szCs w:val="16"/>
          <w:lang w:val="en-US"/>
        </w:rPr>
        <w:t>2011</w:t>
      </w:r>
    </w:p>
  </w:footnote>
  <w:footnote w:id="117">
    <w:p w:rsidR="00A12D55" w:rsidRPr="00950E2F" w:rsidRDefault="00A12D55" w:rsidP="00950E2F">
      <w:pPr>
        <w:pStyle w:val="FootnoteText"/>
      </w:pPr>
      <w:r>
        <w:rPr>
          <w:rStyle w:val="FootnoteReference"/>
        </w:rPr>
        <w:footnoteRef/>
      </w:r>
      <w:r>
        <w:t xml:space="preserve"> </w:t>
      </w:r>
      <w:r>
        <w:rPr>
          <w:sz w:val="16"/>
          <w:szCs w:val="16"/>
        </w:rPr>
        <w:t xml:space="preserve">IASC, </w:t>
      </w:r>
      <w:r>
        <w:rPr>
          <w:i/>
          <w:iCs/>
          <w:sz w:val="16"/>
          <w:szCs w:val="16"/>
        </w:rPr>
        <w:t xml:space="preserve">Guidelines on Mental Health and Psychosocial Support, </w:t>
      </w:r>
      <w:r w:rsidRPr="00950E2F">
        <w:rPr>
          <w:sz w:val="16"/>
          <w:szCs w:val="16"/>
        </w:rPr>
        <w:t>2007</w:t>
      </w:r>
    </w:p>
  </w:footnote>
  <w:footnote w:id="118">
    <w:p w:rsidR="00A12D55" w:rsidRPr="00711213" w:rsidRDefault="00A12D55" w:rsidP="00950E2F">
      <w:pPr>
        <w:pStyle w:val="FootnoteText"/>
        <w:jc w:val="both"/>
        <w:rPr>
          <w:i/>
          <w:iCs/>
          <w:sz w:val="16"/>
          <w:szCs w:val="16"/>
        </w:rPr>
      </w:pPr>
      <w:r w:rsidRPr="00711213">
        <w:rPr>
          <w:rStyle w:val="FootnoteReference"/>
          <w:i/>
          <w:iCs/>
          <w:sz w:val="16"/>
          <w:szCs w:val="16"/>
        </w:rPr>
        <w:footnoteRef/>
      </w:r>
      <w:r>
        <w:rPr>
          <w:i/>
          <w:iCs/>
          <w:sz w:val="16"/>
          <w:szCs w:val="16"/>
        </w:rPr>
        <w:t xml:space="preserve"> </w:t>
      </w:r>
      <w:r w:rsidRPr="00950E2F">
        <w:rPr>
          <w:sz w:val="16"/>
          <w:szCs w:val="16"/>
        </w:rPr>
        <w:t>Human Rights Council, 21</w:t>
      </w:r>
      <w:r w:rsidRPr="00950E2F">
        <w:rPr>
          <w:sz w:val="16"/>
          <w:szCs w:val="16"/>
          <w:vertAlign w:val="superscript"/>
        </w:rPr>
        <w:t>st</w:t>
      </w:r>
      <w:r w:rsidRPr="00950E2F">
        <w:rPr>
          <w:sz w:val="16"/>
          <w:szCs w:val="16"/>
        </w:rPr>
        <w:t xml:space="preserve"> Session,</w:t>
      </w:r>
      <w:r>
        <w:rPr>
          <w:i/>
          <w:iCs/>
          <w:sz w:val="16"/>
          <w:szCs w:val="16"/>
        </w:rPr>
        <w:t xml:space="preserve"> </w:t>
      </w:r>
      <w:r w:rsidRPr="00711213">
        <w:rPr>
          <w:i/>
          <w:iCs/>
          <w:sz w:val="16"/>
          <w:szCs w:val="16"/>
        </w:rPr>
        <w:t xml:space="preserve">Report of the independent international commission of inquiry on the Syrian Arab Republic; </w:t>
      </w:r>
      <w:r w:rsidRPr="00950E2F">
        <w:rPr>
          <w:sz w:val="16"/>
          <w:szCs w:val="16"/>
        </w:rPr>
        <w:t xml:space="preserve">August 2013 </w:t>
      </w:r>
    </w:p>
  </w:footnote>
  <w:footnote w:id="119">
    <w:p w:rsidR="00A12D55" w:rsidRPr="00950E2F" w:rsidRDefault="00A12D55" w:rsidP="00A046B4">
      <w:pPr>
        <w:pStyle w:val="FootnoteText"/>
        <w:rPr>
          <w:sz w:val="16"/>
          <w:szCs w:val="16"/>
        </w:rPr>
      </w:pPr>
      <w:r w:rsidRPr="00711213">
        <w:rPr>
          <w:rStyle w:val="FootnoteReference"/>
          <w:i/>
          <w:iCs/>
          <w:sz w:val="16"/>
          <w:szCs w:val="16"/>
        </w:rPr>
        <w:footnoteRef/>
      </w:r>
      <w:r w:rsidRPr="00711213">
        <w:rPr>
          <w:i/>
          <w:iCs/>
          <w:sz w:val="16"/>
          <w:szCs w:val="16"/>
        </w:rPr>
        <w:t xml:space="preserve"> </w:t>
      </w:r>
      <w:r w:rsidRPr="00950E2F">
        <w:rPr>
          <w:sz w:val="16"/>
          <w:szCs w:val="16"/>
        </w:rPr>
        <w:t>Save the Children,</w:t>
      </w:r>
      <w:r>
        <w:rPr>
          <w:i/>
          <w:iCs/>
          <w:sz w:val="16"/>
          <w:szCs w:val="16"/>
        </w:rPr>
        <w:t xml:space="preserve"> Childhood Under Fire: The Impact of Two Years of Conflict in Syria, </w:t>
      </w:r>
      <w:r w:rsidRPr="00950E2F">
        <w:rPr>
          <w:sz w:val="16"/>
          <w:szCs w:val="16"/>
        </w:rPr>
        <w:t>March 2013</w:t>
      </w:r>
    </w:p>
  </w:footnote>
  <w:footnote w:id="120">
    <w:p w:rsidR="00A12D55" w:rsidRPr="00A80D57" w:rsidRDefault="00A12D55" w:rsidP="00CA106D">
      <w:pPr>
        <w:pStyle w:val="FootnoteText"/>
        <w:rPr>
          <w:i/>
          <w:sz w:val="16"/>
          <w:szCs w:val="16"/>
          <w:lang w:val="en-US"/>
        </w:rPr>
      </w:pPr>
      <w:r w:rsidRPr="004053B1">
        <w:rPr>
          <w:rStyle w:val="FootnoteReference"/>
          <w:i/>
          <w:iCs/>
          <w:sz w:val="16"/>
          <w:szCs w:val="16"/>
        </w:rPr>
        <w:footnoteRef/>
      </w:r>
      <w:r w:rsidRPr="004053B1">
        <w:rPr>
          <w:i/>
          <w:iCs/>
          <w:sz w:val="16"/>
          <w:szCs w:val="16"/>
        </w:rPr>
        <w:t xml:space="preserve"> </w:t>
      </w:r>
      <w:r w:rsidRPr="004053B1">
        <w:rPr>
          <w:i/>
          <w:iCs/>
          <w:sz w:val="16"/>
          <w:szCs w:val="16"/>
          <w:lang w:val="en-US"/>
        </w:rPr>
        <w:t xml:space="preserve">Assessment report January 2013 </w:t>
      </w:r>
    </w:p>
  </w:footnote>
  <w:footnote w:id="121">
    <w:p w:rsidR="00A12D55" w:rsidRPr="002D7297" w:rsidRDefault="00A12D55" w:rsidP="00CA106D">
      <w:pPr>
        <w:pStyle w:val="FootnoteText"/>
        <w:rPr>
          <w:iCs/>
          <w:sz w:val="16"/>
          <w:szCs w:val="16"/>
        </w:rPr>
      </w:pPr>
      <w:r w:rsidRPr="002D7297">
        <w:rPr>
          <w:rStyle w:val="FootnoteReference"/>
          <w:i/>
          <w:sz w:val="16"/>
          <w:szCs w:val="16"/>
        </w:rPr>
        <w:footnoteRef/>
      </w:r>
      <w:r w:rsidRPr="002D7297">
        <w:rPr>
          <w:i/>
          <w:sz w:val="16"/>
          <w:szCs w:val="16"/>
        </w:rPr>
        <w:t xml:space="preserve"> </w:t>
      </w:r>
      <w:r w:rsidRPr="002D7297">
        <w:rPr>
          <w:iCs/>
          <w:sz w:val="16"/>
          <w:szCs w:val="16"/>
        </w:rPr>
        <w:t>UNICEF,</w:t>
      </w:r>
      <w:r w:rsidRPr="002D7297">
        <w:rPr>
          <w:i/>
          <w:sz w:val="16"/>
          <w:szCs w:val="16"/>
        </w:rPr>
        <w:t xml:space="preserve"> Children of Syria – Update, </w:t>
      </w:r>
      <w:r w:rsidRPr="002D7297">
        <w:rPr>
          <w:iCs/>
          <w:sz w:val="16"/>
          <w:szCs w:val="16"/>
        </w:rPr>
        <w:t>25 April 2013</w:t>
      </w:r>
    </w:p>
  </w:footnote>
  <w:footnote w:id="122">
    <w:p w:rsidR="00A12D55" w:rsidRPr="00711213" w:rsidRDefault="00A12D55">
      <w:pPr>
        <w:pStyle w:val="FootnoteText"/>
        <w:rPr>
          <w:i/>
          <w:sz w:val="16"/>
          <w:szCs w:val="16"/>
        </w:rPr>
      </w:pPr>
      <w:r w:rsidRPr="002D7297">
        <w:rPr>
          <w:rStyle w:val="FootnoteReference"/>
          <w:i/>
          <w:sz w:val="16"/>
          <w:szCs w:val="16"/>
        </w:rPr>
        <w:footnoteRef/>
      </w:r>
      <w:r w:rsidRPr="002D7297">
        <w:rPr>
          <w:i/>
          <w:sz w:val="16"/>
          <w:szCs w:val="16"/>
        </w:rPr>
        <w:t xml:space="preserve"> Human Rights Council, Report of the Independent International Commission of Inquiry on the Syrian Arab</w:t>
      </w:r>
    </w:p>
  </w:footnote>
  <w:footnote w:id="123">
    <w:p w:rsidR="00A12D55" w:rsidRPr="00711213" w:rsidRDefault="00A12D55" w:rsidP="004053B1">
      <w:pPr>
        <w:pStyle w:val="FootnoteText"/>
        <w:rPr>
          <w:i/>
          <w:sz w:val="16"/>
          <w:szCs w:val="16"/>
        </w:rPr>
      </w:pPr>
      <w:r w:rsidRPr="004053B1">
        <w:rPr>
          <w:rStyle w:val="FootnoteReference"/>
          <w:i/>
          <w:sz w:val="16"/>
          <w:szCs w:val="16"/>
        </w:rPr>
        <w:footnoteRef/>
      </w:r>
      <w:r w:rsidRPr="004053B1">
        <w:rPr>
          <w:i/>
          <w:sz w:val="16"/>
          <w:szCs w:val="16"/>
        </w:rPr>
        <w:t xml:space="preserve"> </w:t>
      </w:r>
      <w:r w:rsidRPr="004053B1">
        <w:rPr>
          <w:i/>
          <w:iCs/>
          <w:sz w:val="16"/>
          <w:szCs w:val="16"/>
          <w:lang w:val="en-US"/>
        </w:rPr>
        <w:t>Assessment report January 2013</w:t>
      </w:r>
    </w:p>
  </w:footnote>
  <w:footnote w:id="124">
    <w:p w:rsidR="00A12D55" w:rsidRPr="00711213" w:rsidRDefault="00A12D55" w:rsidP="00AA6C53">
      <w:pPr>
        <w:pStyle w:val="FootnoteText"/>
        <w:rPr>
          <w:i/>
          <w:sz w:val="16"/>
          <w:szCs w:val="16"/>
        </w:rPr>
      </w:pPr>
      <w:r w:rsidRPr="00711213">
        <w:rPr>
          <w:rStyle w:val="FootnoteReference"/>
          <w:i/>
          <w:sz w:val="16"/>
          <w:szCs w:val="16"/>
        </w:rPr>
        <w:footnoteRef/>
      </w:r>
      <w:r w:rsidRPr="00711213">
        <w:rPr>
          <w:i/>
          <w:sz w:val="16"/>
          <w:szCs w:val="16"/>
        </w:rPr>
        <w:t xml:space="preserve"> </w:t>
      </w:r>
      <w:r w:rsidRPr="00711213">
        <w:rPr>
          <w:i/>
          <w:iCs/>
          <w:sz w:val="16"/>
          <w:szCs w:val="16"/>
        </w:rPr>
        <w:t>Save the</w:t>
      </w:r>
      <w:r>
        <w:rPr>
          <w:i/>
          <w:iCs/>
          <w:sz w:val="16"/>
          <w:szCs w:val="16"/>
        </w:rPr>
        <w:t xml:space="preserve"> Children, Childhood Under Fire: The Impact of Two Years of Conflict in Syria, March 2013</w:t>
      </w:r>
    </w:p>
  </w:footnote>
  <w:footnote w:id="125">
    <w:p w:rsidR="00A12D55" w:rsidRPr="00711213" w:rsidRDefault="00A12D55" w:rsidP="00A046B4">
      <w:pPr>
        <w:pStyle w:val="FootnoteText"/>
        <w:rPr>
          <w:i/>
          <w:sz w:val="16"/>
          <w:szCs w:val="16"/>
        </w:rPr>
      </w:pPr>
      <w:r w:rsidRPr="00711213">
        <w:rPr>
          <w:rStyle w:val="FootnoteReference"/>
          <w:i/>
          <w:sz w:val="16"/>
          <w:szCs w:val="16"/>
        </w:rPr>
        <w:footnoteRef/>
      </w:r>
      <w:r w:rsidRPr="00711213">
        <w:rPr>
          <w:i/>
          <w:sz w:val="16"/>
          <w:szCs w:val="16"/>
        </w:rPr>
        <w:t xml:space="preserve"> </w:t>
      </w:r>
      <w:r w:rsidRPr="000A1895">
        <w:rPr>
          <w:rFonts w:cs="Times New Roman"/>
          <w:sz w:val="16"/>
          <w:szCs w:val="16"/>
        </w:rPr>
        <w:t xml:space="preserve">Assessment Working Group for North Syria, </w:t>
      </w:r>
      <w:r w:rsidRPr="000A1895">
        <w:rPr>
          <w:rFonts w:cs="Times New Roman"/>
          <w:i/>
          <w:iCs/>
          <w:sz w:val="16"/>
          <w:szCs w:val="16"/>
        </w:rPr>
        <w:t>Joint Rapid Needs Assessment of Syria II Final Report</w:t>
      </w:r>
      <w:r w:rsidRPr="000A1895">
        <w:rPr>
          <w:rFonts w:cs="Times New Roman"/>
          <w:sz w:val="16"/>
          <w:szCs w:val="16"/>
        </w:rPr>
        <w:t>, 22 May 2013</w:t>
      </w:r>
    </w:p>
  </w:footnote>
  <w:footnote w:id="126">
    <w:p w:rsidR="00A12D55" w:rsidRPr="00711213" w:rsidRDefault="00A12D55" w:rsidP="004053B1">
      <w:pPr>
        <w:pStyle w:val="FootnoteText"/>
        <w:rPr>
          <w:i/>
          <w:sz w:val="16"/>
          <w:szCs w:val="16"/>
        </w:rPr>
      </w:pPr>
      <w:r w:rsidRPr="004053B1">
        <w:rPr>
          <w:rStyle w:val="FootnoteReference"/>
          <w:i/>
          <w:sz w:val="16"/>
          <w:szCs w:val="16"/>
        </w:rPr>
        <w:footnoteRef/>
      </w:r>
      <w:r w:rsidRPr="004053B1">
        <w:rPr>
          <w:i/>
          <w:sz w:val="16"/>
          <w:szCs w:val="16"/>
        </w:rPr>
        <w:t xml:space="preserve"> </w:t>
      </w:r>
      <w:r w:rsidRPr="004053B1">
        <w:rPr>
          <w:i/>
          <w:iCs/>
          <w:sz w:val="16"/>
          <w:szCs w:val="16"/>
          <w:lang w:val="en-US"/>
        </w:rPr>
        <w:t>Assessment report January 2013</w:t>
      </w:r>
    </w:p>
  </w:footnote>
  <w:footnote w:id="127">
    <w:p w:rsidR="00A12D55" w:rsidRPr="00711213" w:rsidRDefault="00A12D55" w:rsidP="00CA106D">
      <w:pPr>
        <w:pStyle w:val="FootnoteText"/>
        <w:rPr>
          <w:i/>
          <w:sz w:val="16"/>
          <w:szCs w:val="16"/>
        </w:rPr>
      </w:pPr>
      <w:r w:rsidRPr="00711213">
        <w:rPr>
          <w:rStyle w:val="FootnoteReference"/>
          <w:i/>
          <w:sz w:val="16"/>
          <w:szCs w:val="16"/>
        </w:rPr>
        <w:footnoteRef/>
      </w:r>
      <w:r w:rsidRPr="00711213">
        <w:rPr>
          <w:i/>
          <w:sz w:val="16"/>
          <w:szCs w:val="16"/>
        </w:rPr>
        <w:t xml:space="preserve"> </w:t>
      </w:r>
      <w:r w:rsidRPr="00950E2F">
        <w:rPr>
          <w:iCs/>
          <w:sz w:val="16"/>
          <w:szCs w:val="16"/>
        </w:rPr>
        <w:t>UNICEF,</w:t>
      </w:r>
      <w:r w:rsidRPr="00711213">
        <w:rPr>
          <w:i/>
          <w:sz w:val="16"/>
          <w:szCs w:val="16"/>
        </w:rPr>
        <w:t xml:space="preserve"> Syria Regional Crisis report, </w:t>
      </w:r>
      <w:r w:rsidRPr="00950E2F">
        <w:rPr>
          <w:iCs/>
          <w:sz w:val="16"/>
          <w:szCs w:val="16"/>
        </w:rPr>
        <w:t>25</w:t>
      </w:r>
      <w:r w:rsidRPr="00950E2F">
        <w:rPr>
          <w:iCs/>
          <w:sz w:val="16"/>
          <w:szCs w:val="16"/>
          <w:vertAlign w:val="superscript"/>
        </w:rPr>
        <w:t>th</w:t>
      </w:r>
      <w:r w:rsidRPr="00950E2F">
        <w:rPr>
          <w:iCs/>
          <w:sz w:val="16"/>
          <w:szCs w:val="16"/>
        </w:rPr>
        <w:t xml:space="preserve"> January 2013</w:t>
      </w:r>
      <w:r>
        <w:rPr>
          <w:i/>
          <w:sz w:val="16"/>
          <w:szCs w:val="16"/>
        </w:rPr>
        <w:t xml:space="preserve"> </w:t>
      </w:r>
    </w:p>
  </w:footnote>
  <w:footnote w:id="128">
    <w:p w:rsidR="00A12D55" w:rsidRDefault="00A12D55" w:rsidP="00A046B4">
      <w:pPr>
        <w:pStyle w:val="FootnoteText"/>
      </w:pPr>
      <w:r w:rsidRPr="00711213">
        <w:rPr>
          <w:rStyle w:val="FootnoteReference"/>
          <w:i/>
          <w:sz w:val="16"/>
          <w:szCs w:val="16"/>
        </w:rPr>
        <w:footnoteRef/>
      </w:r>
      <w:r w:rsidRPr="00711213">
        <w:rPr>
          <w:i/>
          <w:sz w:val="16"/>
          <w:szCs w:val="16"/>
        </w:rPr>
        <w:t xml:space="preserve"> </w:t>
      </w:r>
      <w:r w:rsidRPr="000A1895">
        <w:rPr>
          <w:rFonts w:cs="Times New Roman"/>
          <w:sz w:val="16"/>
          <w:szCs w:val="16"/>
        </w:rPr>
        <w:t xml:space="preserve">Assessment Working Group for North Syria, </w:t>
      </w:r>
      <w:r w:rsidRPr="000A1895">
        <w:rPr>
          <w:rFonts w:cs="Times New Roman"/>
          <w:i/>
          <w:iCs/>
          <w:sz w:val="16"/>
          <w:szCs w:val="16"/>
        </w:rPr>
        <w:t>Joint Rapid Needs Assessment of Syria II Final Report</w:t>
      </w:r>
      <w:r w:rsidRPr="000A1895">
        <w:rPr>
          <w:rFonts w:cs="Times New Roman"/>
          <w:sz w:val="16"/>
          <w:szCs w:val="16"/>
        </w:rPr>
        <w:t>, 22 May 2013</w:t>
      </w:r>
    </w:p>
  </w:footnote>
  <w:footnote w:id="129">
    <w:p w:rsidR="00A12D55" w:rsidRPr="00581BEE" w:rsidRDefault="00A12D55">
      <w:pPr>
        <w:pStyle w:val="FootnoteText"/>
        <w:rPr>
          <w:i/>
          <w:iCs/>
          <w:sz w:val="16"/>
          <w:szCs w:val="16"/>
        </w:rPr>
      </w:pPr>
      <w:r w:rsidRPr="00581BEE">
        <w:rPr>
          <w:rStyle w:val="FootnoteReference"/>
          <w:sz w:val="16"/>
          <w:szCs w:val="16"/>
        </w:rPr>
        <w:footnoteRef/>
      </w:r>
      <w:r w:rsidRPr="00581BEE">
        <w:rPr>
          <w:sz w:val="16"/>
          <w:szCs w:val="16"/>
        </w:rPr>
        <w:t xml:space="preserve"> </w:t>
      </w:r>
      <w:r>
        <w:rPr>
          <w:sz w:val="16"/>
          <w:szCs w:val="16"/>
        </w:rPr>
        <w:t xml:space="preserve">UNICEF, </w:t>
      </w:r>
      <w:r>
        <w:rPr>
          <w:i/>
          <w:iCs/>
          <w:sz w:val="16"/>
          <w:szCs w:val="16"/>
        </w:rPr>
        <w:t xml:space="preserve">State </w:t>
      </w:r>
    </w:p>
  </w:footnote>
  <w:footnote w:id="130">
    <w:p w:rsidR="00A12D55" w:rsidRPr="00711213" w:rsidRDefault="00A12D55" w:rsidP="00BA44E5">
      <w:pPr>
        <w:pStyle w:val="FootnoteText"/>
        <w:rPr>
          <w:i/>
          <w:iCs/>
          <w:sz w:val="16"/>
          <w:szCs w:val="16"/>
        </w:rPr>
      </w:pPr>
      <w:r w:rsidRPr="00711213">
        <w:rPr>
          <w:rStyle w:val="FootnoteReference"/>
          <w:i/>
          <w:iCs/>
          <w:sz w:val="16"/>
          <w:szCs w:val="16"/>
        </w:rPr>
        <w:footnoteRef/>
      </w:r>
      <w:r w:rsidRPr="00711213">
        <w:rPr>
          <w:i/>
          <w:iCs/>
          <w:sz w:val="16"/>
          <w:szCs w:val="16"/>
        </w:rPr>
        <w:t xml:space="preserve"> </w:t>
      </w:r>
      <w:r w:rsidRPr="00950E2F">
        <w:rPr>
          <w:i/>
          <w:iCs/>
          <w:sz w:val="16"/>
          <w:szCs w:val="16"/>
        </w:rPr>
        <w:t xml:space="preserve">U.N. </w:t>
      </w:r>
      <w:r w:rsidRPr="00950E2F">
        <w:rPr>
          <w:i/>
          <w:iCs/>
          <w:sz w:val="16"/>
          <w:szCs w:val="16"/>
          <w:lang w:val="en-US"/>
        </w:rPr>
        <w:t>Committee on the Rights of the Child, 58</w:t>
      </w:r>
      <w:r w:rsidRPr="00950E2F">
        <w:rPr>
          <w:i/>
          <w:iCs/>
          <w:sz w:val="16"/>
          <w:szCs w:val="16"/>
          <w:vertAlign w:val="superscript"/>
          <w:lang w:val="en-US"/>
        </w:rPr>
        <w:t>th</w:t>
      </w:r>
      <w:r w:rsidRPr="00950E2F">
        <w:rPr>
          <w:i/>
          <w:iCs/>
          <w:sz w:val="16"/>
          <w:szCs w:val="16"/>
          <w:lang w:val="en-US"/>
        </w:rPr>
        <w:t xml:space="preserve"> Session, </w:t>
      </w:r>
      <w:r w:rsidRPr="00950E2F">
        <w:rPr>
          <w:i/>
          <w:iCs/>
          <w:sz w:val="16"/>
          <w:szCs w:val="16"/>
        </w:rPr>
        <w:t xml:space="preserve">Consideration of reports submitted by States parties under article 44 of the Convention, </w:t>
      </w:r>
      <w:r w:rsidRPr="00950E2F">
        <w:rPr>
          <w:i/>
          <w:iCs/>
          <w:sz w:val="16"/>
          <w:szCs w:val="16"/>
          <w:lang w:val="en-US"/>
        </w:rPr>
        <w:t xml:space="preserve">Concluding Observations: Syrian Arab Republic, </w:t>
      </w:r>
      <w:r w:rsidRPr="00950E2F">
        <w:rPr>
          <w:sz w:val="16"/>
          <w:szCs w:val="16"/>
          <w:lang w:val="en-US"/>
        </w:rPr>
        <w:t>2011</w:t>
      </w:r>
    </w:p>
  </w:footnote>
  <w:footnote w:id="131">
    <w:p w:rsidR="00A12D55" w:rsidRPr="00711213" w:rsidRDefault="00A12D55" w:rsidP="00BA44E5">
      <w:pPr>
        <w:pStyle w:val="FootnoteText"/>
        <w:rPr>
          <w:i/>
          <w:iCs/>
          <w:sz w:val="16"/>
          <w:szCs w:val="16"/>
        </w:rPr>
      </w:pPr>
      <w:r w:rsidRPr="00711213">
        <w:rPr>
          <w:rStyle w:val="FootnoteReference"/>
          <w:i/>
          <w:iCs/>
          <w:sz w:val="16"/>
          <w:szCs w:val="16"/>
        </w:rPr>
        <w:footnoteRef/>
      </w:r>
      <w:r w:rsidRPr="00711213">
        <w:rPr>
          <w:i/>
          <w:iCs/>
          <w:sz w:val="16"/>
          <w:szCs w:val="16"/>
        </w:rPr>
        <w:t xml:space="preserve"> </w:t>
      </w:r>
      <w:r>
        <w:rPr>
          <w:i/>
          <w:iCs/>
          <w:sz w:val="16"/>
          <w:szCs w:val="16"/>
        </w:rPr>
        <w:t>Ibid</w:t>
      </w:r>
    </w:p>
  </w:footnote>
  <w:footnote w:id="132">
    <w:p w:rsidR="00A12D55" w:rsidRPr="00711213" w:rsidRDefault="00A12D55" w:rsidP="002D7297">
      <w:pPr>
        <w:pStyle w:val="FootnoteText"/>
        <w:rPr>
          <w:i/>
          <w:iCs/>
          <w:sz w:val="16"/>
          <w:szCs w:val="16"/>
        </w:rPr>
      </w:pPr>
      <w:r w:rsidRPr="00711213">
        <w:rPr>
          <w:rStyle w:val="FootnoteReference"/>
          <w:i/>
          <w:iCs/>
          <w:sz w:val="16"/>
          <w:szCs w:val="16"/>
        </w:rPr>
        <w:footnoteRef/>
      </w:r>
      <w:r w:rsidRPr="00711213">
        <w:rPr>
          <w:i/>
          <w:iCs/>
          <w:sz w:val="16"/>
          <w:szCs w:val="16"/>
        </w:rPr>
        <w:t xml:space="preserve"> </w:t>
      </w:r>
      <w:r>
        <w:rPr>
          <w:i/>
          <w:iCs/>
          <w:sz w:val="16"/>
          <w:szCs w:val="16"/>
        </w:rPr>
        <w:t>Ibid</w:t>
      </w:r>
      <w:r w:rsidRPr="00711213">
        <w:rPr>
          <w:i/>
          <w:iCs/>
          <w:sz w:val="16"/>
          <w:szCs w:val="16"/>
        </w:rPr>
        <w:t xml:space="preserve"> </w:t>
      </w:r>
    </w:p>
  </w:footnote>
  <w:footnote w:id="133">
    <w:p w:rsidR="00A12D55" w:rsidRPr="00A046B4" w:rsidRDefault="00A12D55" w:rsidP="002D7297">
      <w:pPr>
        <w:autoSpaceDE w:val="0"/>
        <w:autoSpaceDN w:val="0"/>
        <w:adjustRightInd w:val="0"/>
        <w:spacing w:after="0" w:line="240" w:lineRule="auto"/>
        <w:rPr>
          <w:rFonts w:cs="Times New Roman"/>
          <w:sz w:val="16"/>
          <w:szCs w:val="16"/>
        </w:rPr>
      </w:pPr>
      <w:r w:rsidRPr="00711213">
        <w:rPr>
          <w:rStyle w:val="FootnoteReference"/>
          <w:i/>
          <w:iCs/>
          <w:sz w:val="16"/>
          <w:szCs w:val="16"/>
        </w:rPr>
        <w:footnoteRef/>
      </w:r>
      <w:r w:rsidRPr="00711213">
        <w:rPr>
          <w:i/>
          <w:iCs/>
          <w:sz w:val="16"/>
          <w:szCs w:val="16"/>
        </w:rPr>
        <w:t xml:space="preserve"> </w:t>
      </w:r>
      <w:r w:rsidRPr="00D31D6C">
        <w:rPr>
          <w:rFonts w:cs="TimesNewRomanPS-BoldMT"/>
          <w:sz w:val="16"/>
          <w:szCs w:val="16"/>
          <w:lang w:val="en-US"/>
        </w:rPr>
        <w:t xml:space="preserve">UNICEF &amp; SCFA , </w:t>
      </w:r>
      <w:r w:rsidRPr="00D31D6C">
        <w:rPr>
          <w:rFonts w:cs="TimesNewRomanPS-BoldMT"/>
          <w:i/>
          <w:iCs/>
          <w:sz w:val="16"/>
          <w:szCs w:val="16"/>
          <w:lang w:val="en-US"/>
        </w:rPr>
        <w:t>Situation Analysis of Childhood Status in Syria</w:t>
      </w:r>
      <w:r w:rsidRPr="00D31D6C">
        <w:rPr>
          <w:rFonts w:cs="TimesNewRomanPS-BoldMT"/>
          <w:sz w:val="16"/>
          <w:szCs w:val="16"/>
          <w:lang w:val="en-US"/>
        </w:rPr>
        <w:t>, 2008</w:t>
      </w:r>
    </w:p>
  </w:footnote>
  <w:footnote w:id="134">
    <w:p w:rsidR="00A12D55" w:rsidRPr="00711213" w:rsidRDefault="00A12D55" w:rsidP="001A21A9">
      <w:pPr>
        <w:pStyle w:val="FootnoteText"/>
        <w:rPr>
          <w:i/>
          <w:iCs/>
          <w:sz w:val="16"/>
          <w:szCs w:val="16"/>
        </w:rPr>
      </w:pPr>
      <w:r w:rsidRPr="00711213">
        <w:rPr>
          <w:rStyle w:val="FootnoteReference"/>
          <w:i/>
          <w:iCs/>
          <w:sz w:val="16"/>
          <w:szCs w:val="16"/>
        </w:rPr>
        <w:footnoteRef/>
      </w:r>
      <w:r>
        <w:rPr>
          <w:i/>
          <w:iCs/>
          <w:sz w:val="16"/>
          <w:szCs w:val="16"/>
        </w:rPr>
        <w:t xml:space="preserve"> U</w:t>
      </w:r>
      <w:r w:rsidRPr="00950E2F">
        <w:rPr>
          <w:i/>
          <w:iCs/>
          <w:sz w:val="16"/>
          <w:szCs w:val="16"/>
        </w:rPr>
        <w:t xml:space="preserve">.N. </w:t>
      </w:r>
      <w:r w:rsidRPr="00950E2F">
        <w:rPr>
          <w:i/>
          <w:iCs/>
          <w:sz w:val="16"/>
          <w:szCs w:val="16"/>
          <w:lang w:val="en-US"/>
        </w:rPr>
        <w:t>Committee on the Rights of the Child, 58</w:t>
      </w:r>
      <w:r w:rsidRPr="00950E2F">
        <w:rPr>
          <w:i/>
          <w:iCs/>
          <w:sz w:val="16"/>
          <w:szCs w:val="16"/>
          <w:vertAlign w:val="superscript"/>
          <w:lang w:val="en-US"/>
        </w:rPr>
        <w:t>th</w:t>
      </w:r>
      <w:r w:rsidRPr="00950E2F">
        <w:rPr>
          <w:i/>
          <w:iCs/>
          <w:sz w:val="16"/>
          <w:szCs w:val="16"/>
          <w:lang w:val="en-US"/>
        </w:rPr>
        <w:t xml:space="preserve"> Session, </w:t>
      </w:r>
      <w:r w:rsidRPr="00950E2F">
        <w:rPr>
          <w:i/>
          <w:iCs/>
          <w:sz w:val="16"/>
          <w:szCs w:val="16"/>
        </w:rPr>
        <w:t xml:space="preserve">Consideration of reports submitted by States parties under article 44 of the Convention, </w:t>
      </w:r>
      <w:r w:rsidRPr="00950E2F">
        <w:rPr>
          <w:i/>
          <w:iCs/>
          <w:sz w:val="16"/>
          <w:szCs w:val="16"/>
          <w:lang w:val="en-US"/>
        </w:rPr>
        <w:t xml:space="preserve">Concluding Observations: Syrian Arab Republic, </w:t>
      </w:r>
      <w:r w:rsidRPr="00950E2F">
        <w:rPr>
          <w:sz w:val="16"/>
          <w:szCs w:val="16"/>
          <w:lang w:val="en-US"/>
        </w:rPr>
        <w:t>2011</w:t>
      </w:r>
    </w:p>
  </w:footnote>
  <w:footnote w:id="135">
    <w:p w:rsidR="00A12D55" w:rsidRPr="00284018" w:rsidRDefault="00A12D55" w:rsidP="001A21A9">
      <w:pPr>
        <w:pStyle w:val="FootnoteText"/>
        <w:rPr>
          <w:sz w:val="16"/>
          <w:szCs w:val="16"/>
          <w:lang w:val="en-US"/>
        </w:rPr>
      </w:pPr>
      <w:r w:rsidRPr="00284018">
        <w:rPr>
          <w:rStyle w:val="FootnoteReference"/>
          <w:sz w:val="16"/>
          <w:szCs w:val="16"/>
        </w:rPr>
        <w:footnoteRef/>
      </w:r>
      <w:r w:rsidRPr="00284018">
        <w:rPr>
          <w:sz w:val="16"/>
          <w:szCs w:val="16"/>
        </w:rPr>
        <w:t xml:space="preserve"> </w:t>
      </w:r>
      <w:r w:rsidRPr="00284018">
        <w:rPr>
          <w:rFonts w:cs="Arial"/>
          <w:i/>
          <w:iCs/>
          <w:sz w:val="16"/>
          <w:szCs w:val="16"/>
        </w:rPr>
        <w:t xml:space="preserve">UNICEF, </w:t>
      </w:r>
      <w:r w:rsidRPr="00284018">
        <w:rPr>
          <w:rFonts w:eastAsia="KozGoPr6N-Regular" w:cs="Arial"/>
          <w:i/>
          <w:iCs/>
          <w:sz w:val="16"/>
          <w:szCs w:val="16"/>
          <w:lang w:val="en-US"/>
        </w:rPr>
        <w:t>Assessment of the Alternative Care System in the Syrian Arab Republic, 2011</w:t>
      </w:r>
    </w:p>
  </w:footnote>
  <w:footnote w:id="136">
    <w:p w:rsidR="00A12D55" w:rsidRPr="00A65756" w:rsidRDefault="00A12D55" w:rsidP="001A21A9">
      <w:pPr>
        <w:pStyle w:val="FootnoteText"/>
        <w:rPr>
          <w:lang w:val="en-US"/>
        </w:rPr>
      </w:pPr>
      <w:r w:rsidRPr="003D4671">
        <w:rPr>
          <w:rStyle w:val="FootnoteReference"/>
          <w:sz w:val="16"/>
          <w:szCs w:val="16"/>
        </w:rPr>
        <w:footnoteRef/>
      </w:r>
      <w:r>
        <w:t xml:space="preserve"> </w:t>
      </w:r>
      <w:r>
        <w:rPr>
          <w:i/>
          <w:iCs/>
          <w:sz w:val="16"/>
          <w:szCs w:val="16"/>
        </w:rPr>
        <w:t>Ibid</w:t>
      </w:r>
    </w:p>
  </w:footnote>
  <w:footnote w:id="137">
    <w:p w:rsidR="00A12D55" w:rsidRPr="005F2B6B" w:rsidRDefault="00A12D55" w:rsidP="009608F3">
      <w:pPr>
        <w:pStyle w:val="FootnoteText"/>
      </w:pPr>
      <w:r w:rsidRPr="004053B1">
        <w:rPr>
          <w:rStyle w:val="FootnoteReference"/>
          <w:sz w:val="16"/>
          <w:szCs w:val="16"/>
        </w:rPr>
        <w:footnoteRef/>
      </w:r>
      <w:r>
        <w:t xml:space="preserve"> </w:t>
      </w:r>
      <w:r>
        <w:rPr>
          <w:i/>
          <w:iCs/>
          <w:sz w:val="16"/>
          <w:szCs w:val="16"/>
        </w:rPr>
        <w:t>U</w:t>
      </w:r>
      <w:r w:rsidRPr="00950E2F">
        <w:rPr>
          <w:i/>
          <w:iCs/>
          <w:sz w:val="16"/>
          <w:szCs w:val="16"/>
        </w:rPr>
        <w:t xml:space="preserve">.N. </w:t>
      </w:r>
      <w:r w:rsidRPr="00950E2F">
        <w:rPr>
          <w:i/>
          <w:iCs/>
          <w:sz w:val="16"/>
          <w:szCs w:val="16"/>
          <w:lang w:val="en-US"/>
        </w:rPr>
        <w:t>Committee on the Rights of the Child, 58</w:t>
      </w:r>
      <w:r w:rsidRPr="00950E2F">
        <w:rPr>
          <w:i/>
          <w:iCs/>
          <w:sz w:val="16"/>
          <w:szCs w:val="16"/>
          <w:vertAlign w:val="superscript"/>
          <w:lang w:val="en-US"/>
        </w:rPr>
        <w:t>th</w:t>
      </w:r>
      <w:r w:rsidRPr="00950E2F">
        <w:rPr>
          <w:i/>
          <w:iCs/>
          <w:sz w:val="16"/>
          <w:szCs w:val="16"/>
          <w:lang w:val="en-US"/>
        </w:rPr>
        <w:t xml:space="preserve"> Session, </w:t>
      </w:r>
      <w:r w:rsidRPr="00950E2F">
        <w:rPr>
          <w:i/>
          <w:iCs/>
          <w:sz w:val="16"/>
          <w:szCs w:val="16"/>
        </w:rPr>
        <w:t xml:space="preserve">Consideration of reports submitted by States parties under article 44 of the Convention, </w:t>
      </w:r>
      <w:r w:rsidRPr="00950E2F">
        <w:rPr>
          <w:i/>
          <w:iCs/>
          <w:sz w:val="16"/>
          <w:szCs w:val="16"/>
          <w:lang w:val="en-US"/>
        </w:rPr>
        <w:t xml:space="preserve">Concluding Observations: Syrian Arab Republic, </w:t>
      </w:r>
      <w:r w:rsidRPr="00950E2F">
        <w:rPr>
          <w:sz w:val="16"/>
          <w:szCs w:val="16"/>
          <w:lang w:val="en-US"/>
        </w:rPr>
        <w:t>2011</w:t>
      </w:r>
    </w:p>
  </w:footnote>
  <w:footnote w:id="138">
    <w:p w:rsidR="00A12D55" w:rsidRPr="00711213" w:rsidRDefault="00A12D55" w:rsidP="00581BEE">
      <w:pPr>
        <w:pStyle w:val="FootnoteText"/>
        <w:rPr>
          <w:i/>
          <w:iCs/>
          <w:sz w:val="16"/>
          <w:szCs w:val="16"/>
        </w:rPr>
      </w:pPr>
      <w:r w:rsidRPr="00711213">
        <w:rPr>
          <w:rStyle w:val="FootnoteReference"/>
          <w:i/>
          <w:iCs/>
          <w:sz w:val="16"/>
          <w:szCs w:val="16"/>
        </w:rPr>
        <w:footnoteRef/>
      </w:r>
      <w:r w:rsidRPr="00711213">
        <w:rPr>
          <w:i/>
          <w:iCs/>
          <w:sz w:val="16"/>
          <w:szCs w:val="16"/>
        </w:rPr>
        <w:t xml:space="preserve"> Save the</w:t>
      </w:r>
      <w:r>
        <w:rPr>
          <w:i/>
          <w:iCs/>
          <w:sz w:val="16"/>
          <w:szCs w:val="16"/>
        </w:rPr>
        <w:t xml:space="preserve"> Children, Childhood Under Fire: The Impact of Two Years of Conflict in Syria, March 2013</w:t>
      </w:r>
    </w:p>
  </w:footnote>
  <w:footnote w:id="139">
    <w:p w:rsidR="00A12D55" w:rsidRDefault="00A12D55" w:rsidP="001A21A9">
      <w:pPr>
        <w:pStyle w:val="FootnoteText"/>
      </w:pPr>
      <w:r w:rsidRPr="00711213">
        <w:rPr>
          <w:rStyle w:val="FootnoteReference"/>
          <w:i/>
          <w:sz w:val="16"/>
          <w:szCs w:val="16"/>
        </w:rPr>
        <w:footnoteRef/>
      </w:r>
      <w:r w:rsidRPr="00711213">
        <w:rPr>
          <w:i/>
          <w:sz w:val="16"/>
          <w:szCs w:val="16"/>
        </w:rPr>
        <w:t xml:space="preserve"> </w:t>
      </w:r>
      <w:r w:rsidRPr="000A1895">
        <w:rPr>
          <w:rFonts w:cs="Times New Roman"/>
          <w:sz w:val="16"/>
          <w:szCs w:val="16"/>
        </w:rPr>
        <w:t xml:space="preserve">Assessment Working Group for North Syria, </w:t>
      </w:r>
      <w:r w:rsidRPr="000A1895">
        <w:rPr>
          <w:rFonts w:cs="Times New Roman"/>
          <w:i/>
          <w:iCs/>
          <w:sz w:val="16"/>
          <w:szCs w:val="16"/>
        </w:rPr>
        <w:t>Joint Rapid Needs Assessment of Syria II Final Report</w:t>
      </w:r>
      <w:r w:rsidRPr="000A1895">
        <w:rPr>
          <w:rFonts w:cs="Times New Roman"/>
          <w:sz w:val="16"/>
          <w:szCs w:val="16"/>
        </w:rPr>
        <w:t>, 22 May 2013</w:t>
      </w:r>
    </w:p>
  </w:footnote>
  <w:footnote w:id="140">
    <w:p w:rsidR="00A12D55" w:rsidRPr="00514137" w:rsidRDefault="00A12D55">
      <w:pPr>
        <w:pStyle w:val="FootnoteText"/>
      </w:pPr>
      <w:r w:rsidRPr="0016387D">
        <w:rPr>
          <w:rStyle w:val="FootnoteReference"/>
          <w:sz w:val="16"/>
          <w:szCs w:val="16"/>
        </w:rPr>
        <w:footnoteRef/>
      </w:r>
      <w:r w:rsidRPr="0016387D">
        <w:rPr>
          <w:sz w:val="16"/>
          <w:szCs w:val="16"/>
        </w:rPr>
        <w:t xml:space="preserve"> </w:t>
      </w:r>
      <w:r w:rsidRPr="00757A19">
        <w:rPr>
          <w:sz w:val="16"/>
          <w:szCs w:val="16"/>
        </w:rPr>
        <w:t>UN General Assembly Security Council, 67</w:t>
      </w:r>
      <w:r w:rsidRPr="00757A19">
        <w:rPr>
          <w:sz w:val="16"/>
          <w:szCs w:val="16"/>
          <w:vertAlign w:val="superscript"/>
        </w:rPr>
        <w:t>th</w:t>
      </w:r>
      <w:r w:rsidRPr="00757A19">
        <w:rPr>
          <w:sz w:val="16"/>
          <w:szCs w:val="16"/>
        </w:rPr>
        <w:t xml:space="preserve"> Session, </w:t>
      </w:r>
      <w:r w:rsidRPr="00757A19">
        <w:rPr>
          <w:i/>
          <w:iCs/>
          <w:sz w:val="16"/>
          <w:szCs w:val="16"/>
        </w:rPr>
        <w:t>Children and Armed Conflict, Report of the Secretary General</w:t>
      </w:r>
      <w:r w:rsidRPr="00757A19">
        <w:rPr>
          <w:sz w:val="16"/>
          <w:szCs w:val="16"/>
        </w:rPr>
        <w:t>, 15 May 2013</w:t>
      </w:r>
    </w:p>
  </w:footnote>
  <w:footnote w:id="141">
    <w:p w:rsidR="00A12D55" w:rsidRPr="00711213" w:rsidRDefault="00A12D55" w:rsidP="00BA44E5">
      <w:pPr>
        <w:pStyle w:val="FootnoteText"/>
        <w:tabs>
          <w:tab w:val="left" w:pos="0"/>
        </w:tabs>
        <w:jc w:val="both"/>
        <w:rPr>
          <w:i/>
          <w:iCs/>
          <w:sz w:val="16"/>
          <w:szCs w:val="16"/>
        </w:rPr>
      </w:pPr>
      <w:r w:rsidRPr="00BA44E5">
        <w:rPr>
          <w:rStyle w:val="FootnoteReference"/>
          <w:rFonts w:cs="Arial"/>
          <w:i/>
          <w:iCs/>
          <w:sz w:val="16"/>
          <w:szCs w:val="16"/>
        </w:rPr>
        <w:footnoteRef/>
      </w:r>
      <w:r>
        <w:rPr>
          <w:rFonts w:cs="Arial"/>
          <w:i/>
          <w:iCs/>
          <w:sz w:val="16"/>
          <w:szCs w:val="16"/>
        </w:rPr>
        <w:t xml:space="preserve"> Ministry of Education Syria, </w:t>
      </w:r>
      <w:r w:rsidRPr="00FF6821">
        <w:rPr>
          <w:rFonts w:cs="Arial"/>
          <w:sz w:val="16"/>
          <w:szCs w:val="16"/>
        </w:rPr>
        <w:t>3 June 2013</w:t>
      </w:r>
    </w:p>
  </w:footnote>
  <w:footnote w:id="142">
    <w:p w:rsidR="00A12D55" w:rsidRPr="00711213" w:rsidRDefault="00A12D55" w:rsidP="00581BEE">
      <w:pPr>
        <w:pStyle w:val="FootnoteText"/>
        <w:rPr>
          <w:i/>
          <w:iCs/>
          <w:sz w:val="16"/>
          <w:szCs w:val="16"/>
        </w:rPr>
      </w:pPr>
      <w:r w:rsidRPr="004053B1">
        <w:rPr>
          <w:rStyle w:val="FootnoteReference"/>
          <w:i/>
          <w:iCs/>
          <w:sz w:val="16"/>
          <w:szCs w:val="16"/>
        </w:rPr>
        <w:footnoteRef/>
      </w:r>
      <w:r w:rsidRPr="004053B1">
        <w:rPr>
          <w:i/>
          <w:iCs/>
          <w:sz w:val="16"/>
          <w:szCs w:val="16"/>
        </w:rPr>
        <w:t xml:space="preserve"> OCHA , Syria: Humanitarian bulletin, Issue 33,  </w:t>
      </w:r>
      <w:r w:rsidRPr="004053B1">
        <w:rPr>
          <w:sz w:val="16"/>
          <w:szCs w:val="16"/>
        </w:rPr>
        <w:t>9-22 April 2013</w:t>
      </w:r>
    </w:p>
  </w:footnote>
  <w:footnote w:id="143">
    <w:p w:rsidR="00A12D55" w:rsidRPr="00757A19" w:rsidRDefault="00A12D55" w:rsidP="00514137">
      <w:pPr>
        <w:pStyle w:val="FootnoteText"/>
      </w:pPr>
      <w:r w:rsidRPr="009B1FCA">
        <w:rPr>
          <w:rStyle w:val="FootnoteReference"/>
          <w:sz w:val="16"/>
          <w:szCs w:val="16"/>
        </w:rPr>
        <w:footnoteRef/>
      </w:r>
      <w:r w:rsidRPr="009B1FCA">
        <w:rPr>
          <w:sz w:val="16"/>
          <w:szCs w:val="16"/>
        </w:rPr>
        <w:t xml:space="preserve"> UN</w:t>
      </w:r>
      <w:r>
        <w:rPr>
          <w:sz w:val="16"/>
          <w:szCs w:val="16"/>
        </w:rPr>
        <w:t xml:space="preserve"> General Assembly Security Council</w:t>
      </w:r>
      <w:r w:rsidRPr="009B1FCA">
        <w:rPr>
          <w:sz w:val="16"/>
          <w:szCs w:val="16"/>
        </w:rPr>
        <w:t xml:space="preserve">, </w:t>
      </w:r>
      <w:r>
        <w:rPr>
          <w:sz w:val="16"/>
          <w:szCs w:val="16"/>
        </w:rPr>
        <w:t>67</w:t>
      </w:r>
      <w:r w:rsidRPr="009B1FCA">
        <w:rPr>
          <w:sz w:val="16"/>
          <w:szCs w:val="16"/>
          <w:vertAlign w:val="superscript"/>
        </w:rPr>
        <w:t>th</w:t>
      </w:r>
      <w:r>
        <w:rPr>
          <w:sz w:val="16"/>
          <w:szCs w:val="16"/>
        </w:rPr>
        <w:t xml:space="preserve"> Session, </w:t>
      </w:r>
      <w:r w:rsidRPr="009B1FCA">
        <w:rPr>
          <w:i/>
          <w:iCs/>
          <w:sz w:val="16"/>
          <w:szCs w:val="16"/>
        </w:rPr>
        <w:t>Children and Armed Conflict, Report of the Secretary General</w:t>
      </w:r>
      <w:r>
        <w:rPr>
          <w:sz w:val="16"/>
          <w:szCs w:val="16"/>
        </w:rPr>
        <w:t>, 15 May 2013</w:t>
      </w:r>
    </w:p>
  </w:footnote>
  <w:footnote w:id="144">
    <w:p w:rsidR="00A12D55" w:rsidRPr="00D87B4D" w:rsidRDefault="00A12D55" w:rsidP="00581BEE">
      <w:pPr>
        <w:pStyle w:val="FootnoteText"/>
        <w:rPr>
          <w:sz w:val="16"/>
          <w:szCs w:val="16"/>
          <w:lang w:val="en-US"/>
        </w:rPr>
      </w:pPr>
      <w:r w:rsidRPr="00FF6821">
        <w:rPr>
          <w:rStyle w:val="FootnoteReference"/>
          <w:sz w:val="16"/>
          <w:szCs w:val="16"/>
        </w:rPr>
        <w:footnoteRef/>
      </w:r>
      <w:r>
        <w:rPr>
          <w:sz w:val="16"/>
          <w:szCs w:val="16"/>
        </w:rPr>
        <w:t xml:space="preserve">Human Rights Watch, </w:t>
      </w:r>
      <w:r w:rsidRPr="00D87B4D">
        <w:rPr>
          <w:i/>
          <w:iCs/>
          <w:sz w:val="16"/>
          <w:szCs w:val="16"/>
        </w:rPr>
        <w:t>Safe No More: Students and Schools under Attack in Syria</w:t>
      </w:r>
      <w:r>
        <w:rPr>
          <w:sz w:val="16"/>
          <w:szCs w:val="16"/>
        </w:rPr>
        <w:t>, June 2o13</w:t>
      </w:r>
    </w:p>
  </w:footnote>
  <w:footnote w:id="145">
    <w:p w:rsidR="00A12D55" w:rsidRPr="00711213" w:rsidRDefault="00A12D55" w:rsidP="00581BEE">
      <w:pPr>
        <w:pStyle w:val="FootnoteText"/>
        <w:rPr>
          <w:i/>
          <w:iCs/>
          <w:sz w:val="16"/>
          <w:szCs w:val="16"/>
          <w:lang w:val="en-US"/>
        </w:rPr>
      </w:pPr>
      <w:r w:rsidRPr="00711213">
        <w:rPr>
          <w:rStyle w:val="FootnoteReference"/>
          <w:i/>
          <w:iCs/>
          <w:sz w:val="16"/>
          <w:szCs w:val="16"/>
        </w:rPr>
        <w:footnoteRef/>
      </w:r>
      <w:r w:rsidRPr="00711213">
        <w:rPr>
          <w:i/>
          <w:iCs/>
          <w:sz w:val="16"/>
          <w:szCs w:val="16"/>
        </w:rPr>
        <w:t xml:space="preserve"> </w:t>
      </w:r>
      <w:r w:rsidRPr="003D4671">
        <w:rPr>
          <w:sz w:val="16"/>
          <w:szCs w:val="16"/>
          <w:lang w:val="en-US"/>
        </w:rPr>
        <w:t>MSF</w:t>
      </w:r>
      <w:r>
        <w:rPr>
          <w:i/>
          <w:iCs/>
          <w:sz w:val="16"/>
          <w:szCs w:val="16"/>
          <w:lang w:val="en-US"/>
        </w:rPr>
        <w:t xml:space="preserve">, </w:t>
      </w:r>
      <w:r w:rsidRPr="00711213">
        <w:rPr>
          <w:i/>
          <w:iCs/>
          <w:sz w:val="16"/>
          <w:szCs w:val="16"/>
          <w:lang w:val="en-US"/>
        </w:rPr>
        <w:t>Syria Two Years On – The Failure of International Aid so far</w:t>
      </w:r>
      <w:r>
        <w:rPr>
          <w:i/>
          <w:iCs/>
          <w:sz w:val="16"/>
          <w:szCs w:val="16"/>
          <w:lang w:val="en-US"/>
        </w:rPr>
        <w:t xml:space="preserve">, </w:t>
      </w:r>
      <w:r w:rsidRPr="003D4671">
        <w:rPr>
          <w:sz w:val="16"/>
          <w:szCs w:val="16"/>
          <w:lang w:val="en-US"/>
        </w:rPr>
        <w:t>March 2013</w:t>
      </w:r>
    </w:p>
  </w:footnote>
  <w:footnote w:id="146">
    <w:p w:rsidR="00A12D55" w:rsidRPr="008622E6" w:rsidRDefault="00A12D55" w:rsidP="00581BEE">
      <w:pPr>
        <w:pStyle w:val="FootnoteText"/>
      </w:pPr>
      <w:r w:rsidRPr="00711213">
        <w:rPr>
          <w:rStyle w:val="FootnoteReference"/>
          <w:i/>
          <w:iCs/>
          <w:sz w:val="16"/>
          <w:szCs w:val="16"/>
        </w:rPr>
        <w:footnoteRef/>
      </w:r>
      <w:r w:rsidRPr="00711213">
        <w:rPr>
          <w:i/>
          <w:iCs/>
          <w:sz w:val="16"/>
          <w:szCs w:val="16"/>
        </w:rPr>
        <w:t xml:space="preserve"> </w:t>
      </w:r>
      <w:r w:rsidRPr="003D4671">
        <w:rPr>
          <w:sz w:val="16"/>
          <w:szCs w:val="16"/>
        </w:rPr>
        <w:t>OCHA</w:t>
      </w:r>
      <w:r>
        <w:rPr>
          <w:i/>
          <w:iCs/>
          <w:sz w:val="16"/>
          <w:szCs w:val="16"/>
        </w:rPr>
        <w:t>,</w:t>
      </w:r>
      <w:r w:rsidRPr="00711213">
        <w:rPr>
          <w:i/>
          <w:iCs/>
          <w:sz w:val="16"/>
          <w:szCs w:val="16"/>
        </w:rPr>
        <w:t xml:space="preserve"> </w:t>
      </w:r>
      <w:r>
        <w:rPr>
          <w:i/>
          <w:iCs/>
          <w:sz w:val="16"/>
          <w:szCs w:val="16"/>
        </w:rPr>
        <w:t xml:space="preserve">Syria: </w:t>
      </w:r>
      <w:r w:rsidRPr="00711213">
        <w:rPr>
          <w:i/>
          <w:iCs/>
          <w:sz w:val="16"/>
          <w:szCs w:val="16"/>
        </w:rPr>
        <w:t xml:space="preserve">Humanitarian Bulletin, </w:t>
      </w:r>
      <w:r>
        <w:rPr>
          <w:i/>
          <w:iCs/>
          <w:sz w:val="16"/>
          <w:szCs w:val="16"/>
        </w:rPr>
        <w:t xml:space="preserve">Issue 25, </w:t>
      </w:r>
      <w:r w:rsidRPr="003D4671">
        <w:rPr>
          <w:sz w:val="16"/>
          <w:szCs w:val="16"/>
        </w:rPr>
        <w:t>7-20 May 2013</w:t>
      </w:r>
    </w:p>
  </w:footnote>
  <w:footnote w:id="147">
    <w:p w:rsidR="00A12D55" w:rsidRPr="00711213" w:rsidRDefault="00A12D55" w:rsidP="00581BEE">
      <w:pPr>
        <w:pStyle w:val="FootnoteText"/>
        <w:rPr>
          <w:i/>
          <w:sz w:val="16"/>
          <w:szCs w:val="16"/>
        </w:rPr>
      </w:pPr>
      <w:r w:rsidRPr="00711213">
        <w:rPr>
          <w:rStyle w:val="FootnoteReference"/>
          <w:i/>
          <w:sz w:val="16"/>
          <w:szCs w:val="16"/>
        </w:rPr>
        <w:footnoteRef/>
      </w:r>
      <w:r>
        <w:rPr>
          <w:i/>
          <w:sz w:val="16"/>
          <w:szCs w:val="16"/>
        </w:rPr>
        <w:t xml:space="preserve"> </w:t>
      </w:r>
      <w:r w:rsidRPr="003D4671">
        <w:rPr>
          <w:iCs/>
          <w:sz w:val="16"/>
          <w:szCs w:val="16"/>
        </w:rPr>
        <w:t>OCHA</w:t>
      </w:r>
      <w:r w:rsidRPr="00711213">
        <w:rPr>
          <w:i/>
          <w:sz w:val="16"/>
          <w:szCs w:val="16"/>
        </w:rPr>
        <w:t xml:space="preserve">, </w:t>
      </w:r>
      <w:r>
        <w:rPr>
          <w:i/>
          <w:sz w:val="16"/>
          <w:szCs w:val="16"/>
        </w:rPr>
        <w:t>Syria: Humanitarian bulletin, Issue 33,</w:t>
      </w:r>
      <w:r w:rsidRPr="00711213">
        <w:rPr>
          <w:i/>
          <w:sz w:val="16"/>
          <w:szCs w:val="16"/>
        </w:rPr>
        <w:t xml:space="preserve"> </w:t>
      </w:r>
      <w:r w:rsidRPr="003D4671">
        <w:rPr>
          <w:iCs/>
          <w:sz w:val="16"/>
          <w:szCs w:val="16"/>
        </w:rPr>
        <w:t>9-22 April 2013</w:t>
      </w:r>
    </w:p>
  </w:footnote>
  <w:footnote w:id="148">
    <w:p w:rsidR="00A12D55" w:rsidRPr="00711213" w:rsidRDefault="00A12D55" w:rsidP="00581BEE">
      <w:pPr>
        <w:pStyle w:val="FootnoteText"/>
        <w:rPr>
          <w:i/>
          <w:sz w:val="16"/>
          <w:szCs w:val="16"/>
        </w:rPr>
      </w:pPr>
      <w:r w:rsidRPr="00711213">
        <w:rPr>
          <w:rStyle w:val="FootnoteReference"/>
          <w:i/>
          <w:sz w:val="16"/>
          <w:szCs w:val="16"/>
        </w:rPr>
        <w:footnoteRef/>
      </w:r>
      <w:r w:rsidRPr="00711213">
        <w:rPr>
          <w:i/>
          <w:sz w:val="16"/>
          <w:szCs w:val="16"/>
        </w:rPr>
        <w:t xml:space="preserve"> </w:t>
      </w:r>
      <w:r w:rsidRPr="003D4671">
        <w:rPr>
          <w:iCs/>
          <w:sz w:val="16"/>
          <w:szCs w:val="16"/>
        </w:rPr>
        <w:t>OCHA</w:t>
      </w:r>
      <w:r>
        <w:rPr>
          <w:i/>
          <w:sz w:val="16"/>
          <w:szCs w:val="16"/>
        </w:rPr>
        <w:t>,</w:t>
      </w:r>
      <w:r w:rsidRPr="00711213">
        <w:rPr>
          <w:i/>
          <w:sz w:val="16"/>
          <w:szCs w:val="16"/>
        </w:rPr>
        <w:t xml:space="preserve"> </w:t>
      </w:r>
      <w:r>
        <w:rPr>
          <w:i/>
          <w:sz w:val="16"/>
          <w:szCs w:val="16"/>
        </w:rPr>
        <w:t xml:space="preserve">Syria: </w:t>
      </w:r>
      <w:r w:rsidRPr="00711213">
        <w:rPr>
          <w:i/>
          <w:sz w:val="16"/>
          <w:szCs w:val="16"/>
        </w:rPr>
        <w:t xml:space="preserve">Humanitarian Bulletin, </w:t>
      </w:r>
      <w:r>
        <w:rPr>
          <w:i/>
          <w:sz w:val="16"/>
          <w:szCs w:val="16"/>
        </w:rPr>
        <w:t xml:space="preserve">Issue 25, </w:t>
      </w:r>
      <w:r w:rsidRPr="003D4671">
        <w:rPr>
          <w:iCs/>
          <w:sz w:val="16"/>
          <w:szCs w:val="16"/>
        </w:rPr>
        <w:t>7-20 May 2013</w:t>
      </w:r>
    </w:p>
  </w:footnote>
  <w:footnote w:id="149">
    <w:p w:rsidR="00A12D55" w:rsidRPr="003D4671" w:rsidRDefault="00A12D55" w:rsidP="00581BEE">
      <w:pPr>
        <w:pStyle w:val="FootnoteText"/>
        <w:jc w:val="both"/>
        <w:rPr>
          <w:iCs/>
          <w:sz w:val="16"/>
          <w:szCs w:val="16"/>
        </w:rPr>
      </w:pPr>
      <w:r w:rsidRPr="00711213">
        <w:rPr>
          <w:rStyle w:val="FootnoteReference"/>
          <w:rFonts w:cs="Arial"/>
          <w:i/>
          <w:sz w:val="16"/>
          <w:szCs w:val="16"/>
        </w:rPr>
        <w:footnoteRef/>
      </w:r>
      <w:r w:rsidRPr="00711213">
        <w:rPr>
          <w:rFonts w:cs="Arial"/>
          <w:i/>
          <w:sz w:val="16"/>
          <w:szCs w:val="16"/>
        </w:rPr>
        <w:t xml:space="preserve"> </w:t>
      </w:r>
      <w:r w:rsidRPr="003D4671">
        <w:rPr>
          <w:rFonts w:cs="Arial"/>
          <w:iCs/>
          <w:sz w:val="16"/>
          <w:szCs w:val="16"/>
        </w:rPr>
        <w:t>World Health Organisation;</w:t>
      </w:r>
      <w:r w:rsidRPr="00711213">
        <w:rPr>
          <w:rFonts w:cs="Arial"/>
          <w:i/>
          <w:sz w:val="16"/>
          <w:szCs w:val="16"/>
        </w:rPr>
        <w:t xml:space="preserve"> Health Situation in Syria and WHO Re</w:t>
      </w:r>
      <w:r>
        <w:rPr>
          <w:rFonts w:cs="Arial"/>
          <w:i/>
          <w:sz w:val="16"/>
          <w:szCs w:val="16"/>
        </w:rPr>
        <w:t xml:space="preserve">sponse, </w:t>
      </w:r>
      <w:r w:rsidRPr="00711213">
        <w:rPr>
          <w:rFonts w:cs="Arial"/>
          <w:i/>
          <w:sz w:val="16"/>
          <w:szCs w:val="16"/>
        </w:rPr>
        <w:t xml:space="preserve"> </w:t>
      </w:r>
      <w:r>
        <w:rPr>
          <w:rFonts w:cs="Arial"/>
          <w:iCs/>
          <w:sz w:val="16"/>
          <w:szCs w:val="16"/>
        </w:rPr>
        <w:t>26 November 2012</w:t>
      </w:r>
    </w:p>
  </w:footnote>
  <w:footnote w:id="150">
    <w:p w:rsidR="00A12D55" w:rsidRPr="00A5699F" w:rsidRDefault="00A12D55" w:rsidP="00581BEE">
      <w:pPr>
        <w:pStyle w:val="FootnoteText"/>
        <w:rPr>
          <w:i/>
          <w:iCs/>
          <w:sz w:val="16"/>
          <w:szCs w:val="16"/>
          <w:lang w:val="en-US"/>
        </w:rPr>
      </w:pPr>
      <w:r w:rsidRPr="001A21A9">
        <w:rPr>
          <w:rStyle w:val="FootnoteReference"/>
          <w:sz w:val="16"/>
          <w:szCs w:val="16"/>
        </w:rPr>
        <w:footnoteRef/>
      </w:r>
      <w:r w:rsidRPr="001A21A9">
        <w:t xml:space="preserve"> </w:t>
      </w:r>
      <w:r w:rsidRPr="001A21A9">
        <w:rPr>
          <w:i/>
          <w:iCs/>
          <w:sz w:val="16"/>
          <w:szCs w:val="16"/>
          <w:lang w:val="en-US"/>
        </w:rPr>
        <w:t>Human Rights Council, Report of the Independent International Commission of Inquiry on the Syrian Arab</w:t>
      </w:r>
    </w:p>
  </w:footnote>
  <w:footnote w:id="151">
    <w:p w:rsidR="00A12D55" w:rsidRPr="0016387D" w:rsidRDefault="00A12D55">
      <w:pPr>
        <w:pStyle w:val="FootnoteText"/>
        <w:rPr>
          <w:sz w:val="16"/>
          <w:szCs w:val="16"/>
        </w:rPr>
      </w:pPr>
      <w:r w:rsidRPr="0016387D">
        <w:rPr>
          <w:rStyle w:val="FootnoteReference"/>
          <w:sz w:val="16"/>
          <w:szCs w:val="16"/>
        </w:rPr>
        <w:footnoteRef/>
      </w:r>
      <w:r w:rsidRPr="0016387D">
        <w:rPr>
          <w:sz w:val="16"/>
          <w:szCs w:val="16"/>
        </w:rPr>
        <w:t xml:space="preserve"> </w:t>
      </w:r>
      <w:r w:rsidRPr="00757A19">
        <w:rPr>
          <w:sz w:val="16"/>
          <w:szCs w:val="16"/>
        </w:rPr>
        <w:t>UN General Assembly Security Council, 67</w:t>
      </w:r>
      <w:r w:rsidRPr="00757A19">
        <w:rPr>
          <w:sz w:val="16"/>
          <w:szCs w:val="16"/>
          <w:vertAlign w:val="superscript"/>
        </w:rPr>
        <w:t>th</w:t>
      </w:r>
      <w:r w:rsidRPr="00757A19">
        <w:rPr>
          <w:sz w:val="16"/>
          <w:szCs w:val="16"/>
        </w:rPr>
        <w:t xml:space="preserve"> Session, </w:t>
      </w:r>
      <w:r w:rsidRPr="00757A19">
        <w:rPr>
          <w:i/>
          <w:iCs/>
          <w:sz w:val="16"/>
          <w:szCs w:val="16"/>
        </w:rPr>
        <w:t>Children and Armed Conflict, Report of the Secretary General</w:t>
      </w:r>
      <w:r w:rsidRPr="00757A19">
        <w:rPr>
          <w:sz w:val="16"/>
          <w:szCs w:val="16"/>
        </w:rPr>
        <w:t>, 15 May 2013</w:t>
      </w:r>
    </w:p>
  </w:footnote>
  <w:footnote w:id="152">
    <w:p w:rsidR="00A12D55" w:rsidRPr="00FF6821" w:rsidRDefault="00A12D55" w:rsidP="00C84CEA">
      <w:pPr>
        <w:autoSpaceDE w:val="0"/>
        <w:autoSpaceDN w:val="0"/>
        <w:adjustRightInd w:val="0"/>
        <w:spacing w:after="0" w:line="240" w:lineRule="auto"/>
        <w:rPr>
          <w:rFonts w:cs="Times New Roman"/>
          <w:sz w:val="16"/>
          <w:szCs w:val="16"/>
        </w:rPr>
      </w:pPr>
      <w:r w:rsidRPr="00FF6821">
        <w:rPr>
          <w:rStyle w:val="FootnoteReference"/>
          <w:sz w:val="16"/>
          <w:szCs w:val="16"/>
        </w:rPr>
        <w:footnoteRef/>
      </w:r>
      <w:r w:rsidRPr="00FF6821">
        <w:rPr>
          <w:sz w:val="16"/>
          <w:szCs w:val="16"/>
        </w:rPr>
        <w:t xml:space="preserve"> </w:t>
      </w:r>
      <w:r w:rsidRPr="00FF6821">
        <w:rPr>
          <w:rFonts w:cs="TimesNewRomanPS-BoldMT"/>
          <w:sz w:val="16"/>
          <w:szCs w:val="16"/>
          <w:lang w:val="en-US"/>
        </w:rPr>
        <w:t xml:space="preserve">UNICEF &amp; SCFA , </w:t>
      </w:r>
      <w:r w:rsidRPr="00FF6821">
        <w:rPr>
          <w:rFonts w:cs="TimesNewRomanPS-BoldMT"/>
          <w:i/>
          <w:iCs/>
          <w:sz w:val="16"/>
          <w:szCs w:val="16"/>
          <w:lang w:val="en-US"/>
        </w:rPr>
        <w:t>Situation Analysis of Childhood Status in Syria</w:t>
      </w:r>
      <w:r w:rsidRPr="00FF6821">
        <w:rPr>
          <w:rFonts w:cs="TimesNewRomanPS-BoldMT"/>
          <w:sz w:val="16"/>
          <w:szCs w:val="16"/>
          <w:lang w:val="en-US"/>
        </w:rPr>
        <w:t>, 2008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D55" w:rsidRDefault="00A12D55" w:rsidP="00966539">
    <w:pPr>
      <w:tabs>
        <w:tab w:val="left" w:pos="6885"/>
      </w:tabs>
      <w:jc w:val="right"/>
    </w:pPr>
    <w:r w:rsidRPr="00207046">
      <w:rPr>
        <w:rFonts w:cs="Times New Roman"/>
        <w:b/>
        <w:bCs/>
        <w:sz w:val="20"/>
        <w:szCs w:val="20"/>
        <w:u w:val="single"/>
      </w:rPr>
      <w:t xml:space="preserve"> </w:t>
    </w:r>
    <w:r w:rsidRPr="00422CD9">
      <w:rPr>
        <w:rFonts w:cs="Times New Roman"/>
        <w:b/>
        <w:bCs/>
        <w:sz w:val="20"/>
        <w:szCs w:val="20"/>
        <w:u w:val="single"/>
      </w:rPr>
      <w:t xml:space="preserve">Desk Review: </w:t>
    </w:r>
    <w:r w:rsidRPr="00422CD9">
      <w:rPr>
        <w:rFonts w:cs="Times New Roman"/>
        <w:sz w:val="20"/>
        <w:szCs w:val="20"/>
      </w:rPr>
      <w:t xml:space="preserve">Child Protection Priority Issues and Responses inside Syria, </w:t>
    </w:r>
    <w:r>
      <w:rPr>
        <w:rFonts w:cs="Times New Roman"/>
        <w:sz w:val="20"/>
        <w:szCs w:val="20"/>
      </w:rPr>
      <w:t>June</w:t>
    </w:r>
    <w:r w:rsidRPr="00422CD9">
      <w:rPr>
        <w:rFonts w:cs="Times New Roman"/>
        <w:sz w:val="20"/>
        <w:szCs w:val="20"/>
      </w:rPr>
      <w:t xml:space="preserve">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1560"/>
    <w:multiLevelType w:val="multilevel"/>
    <w:tmpl w:val="83BADD3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0F96C2D"/>
    <w:multiLevelType w:val="hybridMultilevel"/>
    <w:tmpl w:val="A270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26011"/>
    <w:multiLevelType w:val="hybridMultilevel"/>
    <w:tmpl w:val="813C3836"/>
    <w:lvl w:ilvl="0" w:tplc="C3A8BEEA">
      <w:start w:val="1"/>
      <w:numFmt w:val="decimal"/>
      <w:lvlText w:val="%1."/>
      <w:lvlJc w:val="left"/>
      <w:pPr>
        <w:ind w:left="360" w:hanging="360"/>
      </w:pPr>
      <w:rPr>
        <w:rFonts w:hint="default"/>
        <w:b/>
        <w:bCs/>
        <w:color w:val="1F497D" w:themeColor="text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EE1A90"/>
    <w:multiLevelType w:val="hybridMultilevel"/>
    <w:tmpl w:val="55B8F20A"/>
    <w:lvl w:ilvl="0" w:tplc="257438CE">
      <w:start w:val="1"/>
      <w:numFmt w:val="upperLetter"/>
      <w:pStyle w:val="DeskReview2"/>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737E96"/>
    <w:multiLevelType w:val="hybridMultilevel"/>
    <w:tmpl w:val="F9C80E52"/>
    <w:lvl w:ilvl="0" w:tplc="F55A3C76">
      <w:start w:val="1"/>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2D51C0"/>
    <w:multiLevelType w:val="hybridMultilevel"/>
    <w:tmpl w:val="E124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0A689C"/>
    <w:multiLevelType w:val="hybridMultilevel"/>
    <w:tmpl w:val="B7A02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C798C"/>
    <w:multiLevelType w:val="multilevel"/>
    <w:tmpl w:val="913C54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C7C78A2"/>
    <w:multiLevelType w:val="multilevel"/>
    <w:tmpl w:val="709EE288"/>
    <w:lvl w:ilvl="0">
      <w:start w:val="1"/>
      <w:numFmt w:val="bullet"/>
      <w:lvlText w:val="-"/>
      <w:lvlJc w:val="left"/>
      <w:pPr>
        <w:ind w:left="1080" w:hanging="360"/>
      </w:pPr>
      <w:rPr>
        <w:rFonts w:ascii="Cambria" w:hAnsi="Cambria"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9">
    <w:nsid w:val="25A71E10"/>
    <w:multiLevelType w:val="hybridMultilevel"/>
    <w:tmpl w:val="0DCCB1A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Symbol"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Symbol"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Symbol" w:hint="default"/>
      </w:rPr>
    </w:lvl>
    <w:lvl w:ilvl="8" w:tplc="04090005" w:tentative="1">
      <w:start w:val="1"/>
      <w:numFmt w:val="bullet"/>
      <w:lvlText w:val=""/>
      <w:lvlJc w:val="left"/>
      <w:pPr>
        <w:ind w:left="6528" w:hanging="360"/>
      </w:pPr>
      <w:rPr>
        <w:rFonts w:ascii="Wingdings" w:hAnsi="Wingdings" w:hint="default"/>
      </w:rPr>
    </w:lvl>
  </w:abstractNum>
  <w:abstractNum w:abstractNumId="10">
    <w:nsid w:val="25F855EA"/>
    <w:multiLevelType w:val="multilevel"/>
    <w:tmpl w:val="2F287A1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6B767D5"/>
    <w:multiLevelType w:val="multilevel"/>
    <w:tmpl w:val="48A2BA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27D95E8F"/>
    <w:multiLevelType w:val="multilevel"/>
    <w:tmpl w:val="27FE85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nsid w:val="2B0D43E7"/>
    <w:multiLevelType w:val="multilevel"/>
    <w:tmpl w:val="890C3AEC"/>
    <w:lvl w:ilvl="0">
      <w:start w:val="1"/>
      <w:numFmt w:val="bullet"/>
      <w:lvlText w:val="-"/>
      <w:lvlJc w:val="left"/>
      <w:pPr>
        <w:ind w:left="1080" w:hanging="360"/>
      </w:pPr>
      <w:rPr>
        <w:rFonts w:ascii="Cambria" w:hAnsi="Cambria"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nsid w:val="2BC445F8"/>
    <w:multiLevelType w:val="hybridMultilevel"/>
    <w:tmpl w:val="13DC36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ED4E30"/>
    <w:multiLevelType w:val="hybridMultilevel"/>
    <w:tmpl w:val="1AF0C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7C4FE4"/>
    <w:multiLevelType w:val="multilevel"/>
    <w:tmpl w:val="570607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4723A2"/>
    <w:multiLevelType w:val="hybridMultilevel"/>
    <w:tmpl w:val="179892E4"/>
    <w:lvl w:ilvl="0" w:tplc="E9E48754">
      <w:start w:val="1"/>
      <w:numFmt w:val="decimal"/>
      <w:lvlText w:val="%1."/>
      <w:lvlJc w:val="left"/>
      <w:pPr>
        <w:ind w:left="1020" w:hanging="660"/>
      </w:pPr>
      <w:rPr>
        <w:rFonts w:hint="default"/>
        <w:color w:val="0000FF"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E11F02"/>
    <w:multiLevelType w:val="multilevel"/>
    <w:tmpl w:val="76B682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15006A"/>
    <w:multiLevelType w:val="multilevel"/>
    <w:tmpl w:val="383CC88E"/>
    <w:lvl w:ilvl="0">
      <w:start w:val="2"/>
      <w:numFmt w:val="decimal"/>
      <w:lvlText w:val="%1"/>
      <w:lvlJc w:val="left"/>
      <w:pPr>
        <w:ind w:left="360" w:hanging="360"/>
      </w:pPr>
      <w:rPr>
        <w:rFonts w:hint="default"/>
        <w:color w:val="1F497D" w:themeColor="text2"/>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3B2F3FD7"/>
    <w:multiLevelType w:val="multilevel"/>
    <w:tmpl w:val="9424A8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ED23505"/>
    <w:multiLevelType w:val="hybridMultilevel"/>
    <w:tmpl w:val="14869DD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29F024C"/>
    <w:multiLevelType w:val="multilevel"/>
    <w:tmpl w:val="9184F764"/>
    <w:lvl w:ilvl="0">
      <w:start w:val="7"/>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43E038FE"/>
    <w:multiLevelType w:val="multilevel"/>
    <w:tmpl w:val="709EE288"/>
    <w:lvl w:ilvl="0">
      <w:start w:val="1"/>
      <w:numFmt w:val="bullet"/>
      <w:lvlText w:val="-"/>
      <w:lvlJc w:val="left"/>
      <w:pPr>
        <w:ind w:left="1080" w:hanging="360"/>
      </w:pPr>
      <w:rPr>
        <w:rFonts w:ascii="Cambria" w:hAnsi="Cambria"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24">
    <w:nsid w:val="45047449"/>
    <w:multiLevelType w:val="hybridMultilevel"/>
    <w:tmpl w:val="B4A0DACA"/>
    <w:lvl w:ilvl="0" w:tplc="18AE2316">
      <w:start w:val="1"/>
      <w:numFmt w:val="bullet"/>
      <w:lvlText w:val="-"/>
      <w:lvlJc w:val="left"/>
      <w:pPr>
        <w:tabs>
          <w:tab w:val="num" w:pos="720"/>
        </w:tabs>
        <w:ind w:left="720" w:hanging="360"/>
      </w:pPr>
      <w:rPr>
        <w:rFonts w:ascii="Cambria" w:hAnsi="Cambria"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93D64D4"/>
    <w:multiLevelType w:val="multilevel"/>
    <w:tmpl w:val="B26EA9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50157C79"/>
    <w:multiLevelType w:val="hybridMultilevel"/>
    <w:tmpl w:val="DE4226FA"/>
    <w:lvl w:ilvl="0" w:tplc="2E8ADB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CE2CE7"/>
    <w:multiLevelType w:val="hybridMultilevel"/>
    <w:tmpl w:val="8B6E8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E84CFD"/>
    <w:multiLevelType w:val="hybridMultilevel"/>
    <w:tmpl w:val="B784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D15323"/>
    <w:multiLevelType w:val="hybridMultilevel"/>
    <w:tmpl w:val="5E927142"/>
    <w:lvl w:ilvl="0" w:tplc="18AE2316">
      <w:start w:val="1"/>
      <w:numFmt w:val="bullet"/>
      <w:lvlText w:val="-"/>
      <w:lvlJc w:val="left"/>
      <w:pPr>
        <w:ind w:left="1080" w:hanging="360"/>
      </w:pPr>
      <w:rPr>
        <w:rFonts w:ascii="Cambria" w:hAnsi="Cambri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3F162AE"/>
    <w:multiLevelType w:val="hybridMultilevel"/>
    <w:tmpl w:val="5894BDF0"/>
    <w:lvl w:ilvl="0" w:tplc="1C24D08E">
      <w:start w:val="1"/>
      <w:numFmt w:val="decimal"/>
      <w:pStyle w:val="DeskRevi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3D32CA"/>
    <w:multiLevelType w:val="multilevel"/>
    <w:tmpl w:val="709EE288"/>
    <w:lvl w:ilvl="0">
      <w:start w:val="1"/>
      <w:numFmt w:val="bullet"/>
      <w:lvlText w:val="-"/>
      <w:lvlJc w:val="left"/>
      <w:pPr>
        <w:ind w:left="1080" w:hanging="360"/>
      </w:pPr>
      <w:rPr>
        <w:rFonts w:ascii="Cambria" w:hAnsi="Cambria"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32">
    <w:nsid w:val="65292832"/>
    <w:multiLevelType w:val="hybridMultilevel"/>
    <w:tmpl w:val="73BA0508"/>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371" w:hanging="360"/>
      </w:pPr>
      <w:rPr>
        <w:rFonts w:ascii="Courier New" w:hAnsi="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33">
    <w:nsid w:val="6BF024BB"/>
    <w:multiLevelType w:val="hybridMultilevel"/>
    <w:tmpl w:val="8C96E3F4"/>
    <w:lvl w:ilvl="0" w:tplc="18D28330">
      <w:start w:val="5"/>
      <w:numFmt w:val="bullet"/>
      <w:lvlText w:val="-"/>
      <w:lvlJc w:val="left"/>
      <w:pPr>
        <w:ind w:left="1440" w:hanging="360"/>
      </w:pPr>
      <w:rPr>
        <w:rFonts w:ascii="Calibri" w:eastAsiaTheme="minorHAnsi" w:hAnsi="Calibri" w:cs="Times New Roman"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ED47A3F"/>
    <w:multiLevelType w:val="multilevel"/>
    <w:tmpl w:val="709EE288"/>
    <w:lvl w:ilvl="0">
      <w:start w:val="1"/>
      <w:numFmt w:val="bullet"/>
      <w:lvlText w:val="-"/>
      <w:lvlJc w:val="left"/>
      <w:pPr>
        <w:ind w:left="1080" w:hanging="360"/>
      </w:pPr>
      <w:rPr>
        <w:rFonts w:ascii="Cambria" w:hAnsi="Cambria"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35">
    <w:nsid w:val="6FA551FF"/>
    <w:multiLevelType w:val="hybridMultilevel"/>
    <w:tmpl w:val="FB38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A85CD9"/>
    <w:multiLevelType w:val="multilevel"/>
    <w:tmpl w:val="7EB43D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nsid w:val="735603A8"/>
    <w:multiLevelType w:val="multilevel"/>
    <w:tmpl w:val="075250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790035CC"/>
    <w:multiLevelType w:val="hybridMultilevel"/>
    <w:tmpl w:val="384ACB74"/>
    <w:lvl w:ilvl="0" w:tplc="18AE2316">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A9B5E29"/>
    <w:multiLevelType w:val="multilevel"/>
    <w:tmpl w:val="2B34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7B91341A"/>
    <w:multiLevelType w:val="multilevel"/>
    <w:tmpl w:val="1A242D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nsid w:val="7F6E6BCB"/>
    <w:multiLevelType w:val="hybridMultilevel"/>
    <w:tmpl w:val="09B4BC12"/>
    <w:lvl w:ilvl="0" w:tplc="75F49992">
      <w:start w:val="2012"/>
      <w:numFmt w:val="bullet"/>
      <w:lvlText w:val="-"/>
      <w:lvlJc w:val="left"/>
      <w:pPr>
        <w:ind w:left="390" w:hanging="360"/>
      </w:pPr>
      <w:rPr>
        <w:rFonts w:ascii="Cambria" w:eastAsiaTheme="minorHAnsi" w:hAnsi="Cambria" w:cs="Lucida Grande" w:hint="default"/>
      </w:rPr>
    </w:lvl>
    <w:lvl w:ilvl="1" w:tplc="04090003" w:tentative="1">
      <w:start w:val="1"/>
      <w:numFmt w:val="bullet"/>
      <w:lvlText w:val="o"/>
      <w:lvlJc w:val="left"/>
      <w:pPr>
        <w:ind w:left="1110" w:hanging="360"/>
      </w:pPr>
      <w:rPr>
        <w:rFonts w:ascii="Courier New" w:hAnsi="Courier New" w:cs="Symbol"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Symbol"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Symbol" w:hint="default"/>
      </w:rPr>
    </w:lvl>
    <w:lvl w:ilvl="8" w:tplc="04090005" w:tentative="1">
      <w:start w:val="1"/>
      <w:numFmt w:val="bullet"/>
      <w:lvlText w:val=""/>
      <w:lvlJc w:val="left"/>
      <w:pPr>
        <w:ind w:left="6150" w:hanging="360"/>
      </w:pPr>
      <w:rPr>
        <w:rFonts w:ascii="Wingdings" w:hAnsi="Wingdings" w:hint="default"/>
      </w:rPr>
    </w:lvl>
  </w:abstractNum>
  <w:num w:numId="1">
    <w:abstractNumId w:val="24"/>
  </w:num>
  <w:num w:numId="2">
    <w:abstractNumId w:val="29"/>
  </w:num>
  <w:num w:numId="3">
    <w:abstractNumId w:val="30"/>
  </w:num>
  <w:num w:numId="4">
    <w:abstractNumId w:val="3"/>
  </w:num>
  <w:num w:numId="5">
    <w:abstractNumId w:val="6"/>
  </w:num>
  <w:num w:numId="6">
    <w:abstractNumId w:val="41"/>
  </w:num>
  <w:num w:numId="7">
    <w:abstractNumId w:val="26"/>
  </w:num>
  <w:num w:numId="8">
    <w:abstractNumId w:val="35"/>
  </w:num>
  <w:num w:numId="9">
    <w:abstractNumId w:val="39"/>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4"/>
  </w:num>
  <w:num w:numId="17">
    <w:abstractNumId w:val="37"/>
  </w:num>
  <w:num w:numId="18">
    <w:abstractNumId w:val="13"/>
  </w:num>
  <w:num w:numId="19">
    <w:abstractNumId w:val="10"/>
  </w:num>
  <w:num w:numId="20">
    <w:abstractNumId w:val="23"/>
  </w:num>
  <w:num w:numId="21">
    <w:abstractNumId w:val="8"/>
  </w:num>
  <w:num w:numId="22">
    <w:abstractNumId w:val="34"/>
  </w:num>
  <w:num w:numId="23">
    <w:abstractNumId w:val="31"/>
  </w:num>
  <w:num w:numId="24">
    <w:abstractNumId w:val="25"/>
  </w:num>
  <w:num w:numId="25">
    <w:abstractNumId w:val="40"/>
  </w:num>
  <w:num w:numId="26">
    <w:abstractNumId w:val="0"/>
  </w:num>
  <w:num w:numId="27">
    <w:abstractNumId w:val="36"/>
  </w:num>
  <w:num w:numId="28">
    <w:abstractNumId w:val="11"/>
  </w:num>
  <w:num w:numId="29">
    <w:abstractNumId w:val="21"/>
  </w:num>
  <w:num w:numId="30">
    <w:abstractNumId w:val="33"/>
  </w:num>
  <w:num w:numId="31">
    <w:abstractNumId w:val="27"/>
  </w:num>
  <w:num w:numId="32">
    <w:abstractNumId w:val="2"/>
  </w:num>
  <w:num w:numId="33">
    <w:abstractNumId w:val="12"/>
  </w:num>
  <w:num w:numId="34">
    <w:abstractNumId w:val="18"/>
  </w:num>
  <w:num w:numId="35">
    <w:abstractNumId w:val="16"/>
  </w:num>
  <w:num w:numId="36">
    <w:abstractNumId w:val="7"/>
  </w:num>
  <w:num w:numId="37">
    <w:abstractNumId w:val="9"/>
  </w:num>
  <w:num w:numId="38">
    <w:abstractNumId w:val="20"/>
  </w:num>
  <w:num w:numId="39">
    <w:abstractNumId w:val="32"/>
  </w:num>
  <w:num w:numId="40">
    <w:abstractNumId w:val="1"/>
  </w:num>
  <w:num w:numId="41">
    <w:abstractNumId w:val="14"/>
  </w:num>
  <w:num w:numId="42">
    <w:abstractNumId w:val="28"/>
  </w:num>
  <w:num w:numId="43">
    <w:abstractNumId w:val="22"/>
  </w:num>
  <w:num w:numId="44">
    <w:abstractNumId w:val="17"/>
  </w:num>
  <w:num w:numId="45">
    <w:abstractNumId w:val="5"/>
  </w:num>
  <w:num w:numId="46">
    <w:abstractNumId w:val="38"/>
  </w:num>
  <w:num w:numId="4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B1"/>
    <w:rsid w:val="000068C3"/>
    <w:rsid w:val="00010A41"/>
    <w:rsid w:val="000176E9"/>
    <w:rsid w:val="00020C59"/>
    <w:rsid w:val="0002755C"/>
    <w:rsid w:val="000278E6"/>
    <w:rsid w:val="000353C5"/>
    <w:rsid w:val="00035C7B"/>
    <w:rsid w:val="000402BC"/>
    <w:rsid w:val="00040625"/>
    <w:rsid w:val="000408C2"/>
    <w:rsid w:val="00044667"/>
    <w:rsid w:val="00045280"/>
    <w:rsid w:val="00045ACA"/>
    <w:rsid w:val="0005332C"/>
    <w:rsid w:val="000540D0"/>
    <w:rsid w:val="00057620"/>
    <w:rsid w:val="00062E64"/>
    <w:rsid w:val="00064686"/>
    <w:rsid w:val="000647D2"/>
    <w:rsid w:val="00067595"/>
    <w:rsid w:val="000703D3"/>
    <w:rsid w:val="00072938"/>
    <w:rsid w:val="00073110"/>
    <w:rsid w:val="000855F8"/>
    <w:rsid w:val="00085F6B"/>
    <w:rsid w:val="000953A5"/>
    <w:rsid w:val="00096701"/>
    <w:rsid w:val="000A1895"/>
    <w:rsid w:val="000A312D"/>
    <w:rsid w:val="000A3B9E"/>
    <w:rsid w:val="000A437D"/>
    <w:rsid w:val="000A6D6A"/>
    <w:rsid w:val="000A794A"/>
    <w:rsid w:val="000B0D62"/>
    <w:rsid w:val="000B424F"/>
    <w:rsid w:val="000B6EB6"/>
    <w:rsid w:val="000C177F"/>
    <w:rsid w:val="000C3777"/>
    <w:rsid w:val="000D171B"/>
    <w:rsid w:val="000D220E"/>
    <w:rsid w:val="000D2CB6"/>
    <w:rsid w:val="000D3756"/>
    <w:rsid w:val="000D3A4B"/>
    <w:rsid w:val="000D7DA7"/>
    <w:rsid w:val="000E01E2"/>
    <w:rsid w:val="000E2D37"/>
    <w:rsid w:val="000E5894"/>
    <w:rsid w:val="000E614B"/>
    <w:rsid w:val="000E6359"/>
    <w:rsid w:val="000F0C01"/>
    <w:rsid w:val="000F0ED8"/>
    <w:rsid w:val="000F15D6"/>
    <w:rsid w:val="000F16F6"/>
    <w:rsid w:val="000F4AAA"/>
    <w:rsid w:val="000F7220"/>
    <w:rsid w:val="000F74B8"/>
    <w:rsid w:val="001025C5"/>
    <w:rsid w:val="00104A8D"/>
    <w:rsid w:val="00106D4F"/>
    <w:rsid w:val="00110526"/>
    <w:rsid w:val="00111F99"/>
    <w:rsid w:val="00114033"/>
    <w:rsid w:val="00120C43"/>
    <w:rsid w:val="00121A54"/>
    <w:rsid w:val="001227FB"/>
    <w:rsid w:val="00123173"/>
    <w:rsid w:val="00124CA1"/>
    <w:rsid w:val="00125F9D"/>
    <w:rsid w:val="00126555"/>
    <w:rsid w:val="00127448"/>
    <w:rsid w:val="0013052A"/>
    <w:rsid w:val="00133CB7"/>
    <w:rsid w:val="0013582B"/>
    <w:rsid w:val="00137994"/>
    <w:rsid w:val="00137EFC"/>
    <w:rsid w:val="0014014E"/>
    <w:rsid w:val="0014292D"/>
    <w:rsid w:val="00143A29"/>
    <w:rsid w:val="00144E8B"/>
    <w:rsid w:val="001452BB"/>
    <w:rsid w:val="00145797"/>
    <w:rsid w:val="00145C3A"/>
    <w:rsid w:val="00146351"/>
    <w:rsid w:val="00151111"/>
    <w:rsid w:val="00153BA9"/>
    <w:rsid w:val="00154457"/>
    <w:rsid w:val="001553C5"/>
    <w:rsid w:val="00157C7A"/>
    <w:rsid w:val="00160614"/>
    <w:rsid w:val="0016387D"/>
    <w:rsid w:val="001671F5"/>
    <w:rsid w:val="00167A3D"/>
    <w:rsid w:val="001713D6"/>
    <w:rsid w:val="00174C19"/>
    <w:rsid w:val="00175C40"/>
    <w:rsid w:val="001800FE"/>
    <w:rsid w:val="001810B5"/>
    <w:rsid w:val="00184CFB"/>
    <w:rsid w:val="001862B2"/>
    <w:rsid w:val="0018659C"/>
    <w:rsid w:val="001873E6"/>
    <w:rsid w:val="00192298"/>
    <w:rsid w:val="00196CD6"/>
    <w:rsid w:val="00197D04"/>
    <w:rsid w:val="001A21A9"/>
    <w:rsid w:val="001B12EC"/>
    <w:rsid w:val="001B1A23"/>
    <w:rsid w:val="001B66DB"/>
    <w:rsid w:val="001B7BBA"/>
    <w:rsid w:val="001C0FDE"/>
    <w:rsid w:val="001C176D"/>
    <w:rsid w:val="001C49C8"/>
    <w:rsid w:val="001C5611"/>
    <w:rsid w:val="001D0552"/>
    <w:rsid w:val="001D2EFA"/>
    <w:rsid w:val="001D3A61"/>
    <w:rsid w:val="001D492E"/>
    <w:rsid w:val="001E0D98"/>
    <w:rsid w:val="001E2F2F"/>
    <w:rsid w:val="001E3344"/>
    <w:rsid w:val="001E35C3"/>
    <w:rsid w:val="001E3741"/>
    <w:rsid w:val="001E4857"/>
    <w:rsid w:val="001E74D4"/>
    <w:rsid w:val="001F0ECD"/>
    <w:rsid w:val="001F3070"/>
    <w:rsid w:val="001F55C3"/>
    <w:rsid w:val="001F5A10"/>
    <w:rsid w:val="001F7522"/>
    <w:rsid w:val="0020190D"/>
    <w:rsid w:val="00203B76"/>
    <w:rsid w:val="00204AEE"/>
    <w:rsid w:val="00205665"/>
    <w:rsid w:val="00205A5A"/>
    <w:rsid w:val="00207046"/>
    <w:rsid w:val="002076A6"/>
    <w:rsid w:val="00211AD4"/>
    <w:rsid w:val="00214A4F"/>
    <w:rsid w:val="002247F7"/>
    <w:rsid w:val="00226501"/>
    <w:rsid w:val="002272AE"/>
    <w:rsid w:val="00227AAF"/>
    <w:rsid w:val="00230A30"/>
    <w:rsid w:val="00231330"/>
    <w:rsid w:val="002341F3"/>
    <w:rsid w:val="00237179"/>
    <w:rsid w:val="00240AD2"/>
    <w:rsid w:val="00243A72"/>
    <w:rsid w:val="00244612"/>
    <w:rsid w:val="00247090"/>
    <w:rsid w:val="00251ECA"/>
    <w:rsid w:val="00251F97"/>
    <w:rsid w:val="002524BB"/>
    <w:rsid w:val="0025251B"/>
    <w:rsid w:val="0026332E"/>
    <w:rsid w:val="002670F6"/>
    <w:rsid w:val="0027036F"/>
    <w:rsid w:val="0027330E"/>
    <w:rsid w:val="00281CFB"/>
    <w:rsid w:val="00283401"/>
    <w:rsid w:val="002837C6"/>
    <w:rsid w:val="00284018"/>
    <w:rsid w:val="00284F9B"/>
    <w:rsid w:val="002859C5"/>
    <w:rsid w:val="002862CE"/>
    <w:rsid w:val="0028738B"/>
    <w:rsid w:val="00287520"/>
    <w:rsid w:val="00292AFD"/>
    <w:rsid w:val="00294445"/>
    <w:rsid w:val="00295BE6"/>
    <w:rsid w:val="0029702C"/>
    <w:rsid w:val="002A098C"/>
    <w:rsid w:val="002A27B6"/>
    <w:rsid w:val="002A2F29"/>
    <w:rsid w:val="002A3459"/>
    <w:rsid w:val="002A5C02"/>
    <w:rsid w:val="002B0650"/>
    <w:rsid w:val="002B09A3"/>
    <w:rsid w:val="002B17ED"/>
    <w:rsid w:val="002B2C8D"/>
    <w:rsid w:val="002B2E87"/>
    <w:rsid w:val="002B46E8"/>
    <w:rsid w:val="002B79FD"/>
    <w:rsid w:val="002C2A9C"/>
    <w:rsid w:val="002C2BC1"/>
    <w:rsid w:val="002C2D2F"/>
    <w:rsid w:val="002C3766"/>
    <w:rsid w:val="002C46C2"/>
    <w:rsid w:val="002C48FB"/>
    <w:rsid w:val="002C63B8"/>
    <w:rsid w:val="002C63E8"/>
    <w:rsid w:val="002C6EBC"/>
    <w:rsid w:val="002D0A24"/>
    <w:rsid w:val="002D58B9"/>
    <w:rsid w:val="002D64A0"/>
    <w:rsid w:val="002D7297"/>
    <w:rsid w:val="002D7F51"/>
    <w:rsid w:val="002E0167"/>
    <w:rsid w:val="002E12D9"/>
    <w:rsid w:val="002E1CFB"/>
    <w:rsid w:val="002E1D80"/>
    <w:rsid w:val="002E1ED5"/>
    <w:rsid w:val="002E5C0D"/>
    <w:rsid w:val="002E5DC7"/>
    <w:rsid w:val="002F1DD0"/>
    <w:rsid w:val="002F6C48"/>
    <w:rsid w:val="002F7320"/>
    <w:rsid w:val="002F78CD"/>
    <w:rsid w:val="00304CD2"/>
    <w:rsid w:val="00305F68"/>
    <w:rsid w:val="00307DAF"/>
    <w:rsid w:val="00311380"/>
    <w:rsid w:val="00312900"/>
    <w:rsid w:val="00313D64"/>
    <w:rsid w:val="003144C0"/>
    <w:rsid w:val="00315B1A"/>
    <w:rsid w:val="003226FD"/>
    <w:rsid w:val="003245C2"/>
    <w:rsid w:val="00327CA4"/>
    <w:rsid w:val="00327DB5"/>
    <w:rsid w:val="00331911"/>
    <w:rsid w:val="00335671"/>
    <w:rsid w:val="00337144"/>
    <w:rsid w:val="0034065F"/>
    <w:rsid w:val="00341004"/>
    <w:rsid w:val="003428D0"/>
    <w:rsid w:val="00342C5A"/>
    <w:rsid w:val="00343052"/>
    <w:rsid w:val="00343EA6"/>
    <w:rsid w:val="00353931"/>
    <w:rsid w:val="00354353"/>
    <w:rsid w:val="00357815"/>
    <w:rsid w:val="0036607D"/>
    <w:rsid w:val="00366861"/>
    <w:rsid w:val="0037173F"/>
    <w:rsid w:val="003718BF"/>
    <w:rsid w:val="003744C4"/>
    <w:rsid w:val="00374EDA"/>
    <w:rsid w:val="00374F5A"/>
    <w:rsid w:val="003760F2"/>
    <w:rsid w:val="00380A79"/>
    <w:rsid w:val="00382012"/>
    <w:rsid w:val="003827E3"/>
    <w:rsid w:val="003850EB"/>
    <w:rsid w:val="003902D6"/>
    <w:rsid w:val="00390392"/>
    <w:rsid w:val="00390931"/>
    <w:rsid w:val="00390F4B"/>
    <w:rsid w:val="0039139E"/>
    <w:rsid w:val="00392E5C"/>
    <w:rsid w:val="00393BC7"/>
    <w:rsid w:val="003A16ED"/>
    <w:rsid w:val="003A2457"/>
    <w:rsid w:val="003A3D15"/>
    <w:rsid w:val="003A51C7"/>
    <w:rsid w:val="003B218F"/>
    <w:rsid w:val="003B2EAB"/>
    <w:rsid w:val="003B3A3B"/>
    <w:rsid w:val="003B526F"/>
    <w:rsid w:val="003C0D22"/>
    <w:rsid w:val="003C3C53"/>
    <w:rsid w:val="003C4F4F"/>
    <w:rsid w:val="003C60BF"/>
    <w:rsid w:val="003C6492"/>
    <w:rsid w:val="003C7F40"/>
    <w:rsid w:val="003D0CC8"/>
    <w:rsid w:val="003D17F5"/>
    <w:rsid w:val="003D251C"/>
    <w:rsid w:val="003D2916"/>
    <w:rsid w:val="003D29E5"/>
    <w:rsid w:val="003D2E7A"/>
    <w:rsid w:val="003D4671"/>
    <w:rsid w:val="003E28BC"/>
    <w:rsid w:val="003F39E9"/>
    <w:rsid w:val="003F5CF8"/>
    <w:rsid w:val="003F7D36"/>
    <w:rsid w:val="00402B3F"/>
    <w:rsid w:val="00403C3C"/>
    <w:rsid w:val="004053B1"/>
    <w:rsid w:val="004074D5"/>
    <w:rsid w:val="004105E7"/>
    <w:rsid w:val="00414C67"/>
    <w:rsid w:val="00415574"/>
    <w:rsid w:val="00415AB8"/>
    <w:rsid w:val="00416D26"/>
    <w:rsid w:val="004215EC"/>
    <w:rsid w:val="00422955"/>
    <w:rsid w:val="004231F2"/>
    <w:rsid w:val="004236BF"/>
    <w:rsid w:val="00426140"/>
    <w:rsid w:val="00427C20"/>
    <w:rsid w:val="00432E72"/>
    <w:rsid w:val="00432EEB"/>
    <w:rsid w:val="00433FDA"/>
    <w:rsid w:val="00436479"/>
    <w:rsid w:val="00437BD6"/>
    <w:rsid w:val="00443AD4"/>
    <w:rsid w:val="00443B8B"/>
    <w:rsid w:val="00444AC6"/>
    <w:rsid w:val="00446A60"/>
    <w:rsid w:val="00446D7E"/>
    <w:rsid w:val="004528D3"/>
    <w:rsid w:val="00454050"/>
    <w:rsid w:val="00461E61"/>
    <w:rsid w:val="0046252A"/>
    <w:rsid w:val="00465A9C"/>
    <w:rsid w:val="00467031"/>
    <w:rsid w:val="004670B7"/>
    <w:rsid w:val="00471C06"/>
    <w:rsid w:val="004735F4"/>
    <w:rsid w:val="00473F58"/>
    <w:rsid w:val="00476AD4"/>
    <w:rsid w:val="00477AFD"/>
    <w:rsid w:val="004809F3"/>
    <w:rsid w:val="00481BF5"/>
    <w:rsid w:val="00483565"/>
    <w:rsid w:val="004845B1"/>
    <w:rsid w:val="004871AE"/>
    <w:rsid w:val="004973F1"/>
    <w:rsid w:val="00497407"/>
    <w:rsid w:val="00497CCD"/>
    <w:rsid w:val="004A21DB"/>
    <w:rsid w:val="004A2603"/>
    <w:rsid w:val="004A2F9B"/>
    <w:rsid w:val="004A3079"/>
    <w:rsid w:val="004A5F8D"/>
    <w:rsid w:val="004B2EEC"/>
    <w:rsid w:val="004B36A2"/>
    <w:rsid w:val="004B5A57"/>
    <w:rsid w:val="004C1180"/>
    <w:rsid w:val="004C3049"/>
    <w:rsid w:val="004C4D00"/>
    <w:rsid w:val="004D0502"/>
    <w:rsid w:val="004D34F7"/>
    <w:rsid w:val="004D37A1"/>
    <w:rsid w:val="004D61B8"/>
    <w:rsid w:val="004D63B7"/>
    <w:rsid w:val="004D6639"/>
    <w:rsid w:val="004D7CA9"/>
    <w:rsid w:val="004D7CB7"/>
    <w:rsid w:val="004E0AD8"/>
    <w:rsid w:val="004E2636"/>
    <w:rsid w:val="004E690A"/>
    <w:rsid w:val="004E7D87"/>
    <w:rsid w:val="004F147D"/>
    <w:rsid w:val="004F3D06"/>
    <w:rsid w:val="004F5E7F"/>
    <w:rsid w:val="004F6A4E"/>
    <w:rsid w:val="00501F11"/>
    <w:rsid w:val="00504245"/>
    <w:rsid w:val="005071CA"/>
    <w:rsid w:val="0051369C"/>
    <w:rsid w:val="00513D91"/>
    <w:rsid w:val="00514137"/>
    <w:rsid w:val="0051516C"/>
    <w:rsid w:val="00515C75"/>
    <w:rsid w:val="0052356C"/>
    <w:rsid w:val="00523B4E"/>
    <w:rsid w:val="00523FD2"/>
    <w:rsid w:val="005254C2"/>
    <w:rsid w:val="00526F52"/>
    <w:rsid w:val="00530310"/>
    <w:rsid w:val="00533479"/>
    <w:rsid w:val="00534555"/>
    <w:rsid w:val="00536FD4"/>
    <w:rsid w:val="0054025B"/>
    <w:rsid w:val="00541D93"/>
    <w:rsid w:val="00543522"/>
    <w:rsid w:val="0054580B"/>
    <w:rsid w:val="0054628B"/>
    <w:rsid w:val="0054673D"/>
    <w:rsid w:val="00547C84"/>
    <w:rsid w:val="00551DC3"/>
    <w:rsid w:val="00552F3F"/>
    <w:rsid w:val="0055640A"/>
    <w:rsid w:val="00557C84"/>
    <w:rsid w:val="005611DA"/>
    <w:rsid w:val="005626AD"/>
    <w:rsid w:val="005639FD"/>
    <w:rsid w:val="00563FAC"/>
    <w:rsid w:val="00564C62"/>
    <w:rsid w:val="00566640"/>
    <w:rsid w:val="0057117E"/>
    <w:rsid w:val="0057253F"/>
    <w:rsid w:val="00581251"/>
    <w:rsid w:val="00581BEE"/>
    <w:rsid w:val="00582B30"/>
    <w:rsid w:val="00582B52"/>
    <w:rsid w:val="0058381E"/>
    <w:rsid w:val="00585857"/>
    <w:rsid w:val="00585EA9"/>
    <w:rsid w:val="00590EA3"/>
    <w:rsid w:val="00591262"/>
    <w:rsid w:val="005922FC"/>
    <w:rsid w:val="00592885"/>
    <w:rsid w:val="0059468E"/>
    <w:rsid w:val="005950CD"/>
    <w:rsid w:val="005A7986"/>
    <w:rsid w:val="005B2599"/>
    <w:rsid w:val="005B260F"/>
    <w:rsid w:val="005B3DDA"/>
    <w:rsid w:val="005B53FE"/>
    <w:rsid w:val="005B588F"/>
    <w:rsid w:val="005B5B2D"/>
    <w:rsid w:val="005C15EF"/>
    <w:rsid w:val="005C4334"/>
    <w:rsid w:val="005C49BA"/>
    <w:rsid w:val="005C6042"/>
    <w:rsid w:val="005D3165"/>
    <w:rsid w:val="005D7015"/>
    <w:rsid w:val="005D7184"/>
    <w:rsid w:val="005E1FDE"/>
    <w:rsid w:val="005E7575"/>
    <w:rsid w:val="005F03BB"/>
    <w:rsid w:val="005F2B6B"/>
    <w:rsid w:val="005F3EF7"/>
    <w:rsid w:val="005F5421"/>
    <w:rsid w:val="005F6689"/>
    <w:rsid w:val="005F7D50"/>
    <w:rsid w:val="006012D4"/>
    <w:rsid w:val="00606237"/>
    <w:rsid w:val="00610179"/>
    <w:rsid w:val="006109E8"/>
    <w:rsid w:val="006119EA"/>
    <w:rsid w:val="006129DE"/>
    <w:rsid w:val="006167F7"/>
    <w:rsid w:val="006177B8"/>
    <w:rsid w:val="00622A17"/>
    <w:rsid w:val="00624E29"/>
    <w:rsid w:val="006262B3"/>
    <w:rsid w:val="006278CF"/>
    <w:rsid w:val="006324D5"/>
    <w:rsid w:val="00634E7A"/>
    <w:rsid w:val="00636832"/>
    <w:rsid w:val="0064000A"/>
    <w:rsid w:val="006400E8"/>
    <w:rsid w:val="0064079F"/>
    <w:rsid w:val="0064499C"/>
    <w:rsid w:val="006459D4"/>
    <w:rsid w:val="0065067F"/>
    <w:rsid w:val="0065277E"/>
    <w:rsid w:val="006536ED"/>
    <w:rsid w:val="00653E5F"/>
    <w:rsid w:val="0065403C"/>
    <w:rsid w:val="0065476B"/>
    <w:rsid w:val="006555DC"/>
    <w:rsid w:val="00664529"/>
    <w:rsid w:val="006657CD"/>
    <w:rsid w:val="0066611A"/>
    <w:rsid w:val="00674527"/>
    <w:rsid w:val="00674A7A"/>
    <w:rsid w:val="006754E4"/>
    <w:rsid w:val="0067627E"/>
    <w:rsid w:val="0067636E"/>
    <w:rsid w:val="00677E05"/>
    <w:rsid w:val="00684118"/>
    <w:rsid w:val="00684151"/>
    <w:rsid w:val="006861B9"/>
    <w:rsid w:val="0068704D"/>
    <w:rsid w:val="0069004F"/>
    <w:rsid w:val="006907B9"/>
    <w:rsid w:val="00690A05"/>
    <w:rsid w:val="0069338C"/>
    <w:rsid w:val="00693E58"/>
    <w:rsid w:val="006950DF"/>
    <w:rsid w:val="00695AFE"/>
    <w:rsid w:val="00695EF9"/>
    <w:rsid w:val="00697993"/>
    <w:rsid w:val="006A0B81"/>
    <w:rsid w:val="006A0BBA"/>
    <w:rsid w:val="006A51BD"/>
    <w:rsid w:val="006A55C1"/>
    <w:rsid w:val="006A5F90"/>
    <w:rsid w:val="006B06BC"/>
    <w:rsid w:val="006B3A4A"/>
    <w:rsid w:val="006B4322"/>
    <w:rsid w:val="006B4847"/>
    <w:rsid w:val="006B4F3D"/>
    <w:rsid w:val="006B64B1"/>
    <w:rsid w:val="006B78C4"/>
    <w:rsid w:val="006C1515"/>
    <w:rsid w:val="006C3E96"/>
    <w:rsid w:val="006C7E0C"/>
    <w:rsid w:val="006D40AC"/>
    <w:rsid w:val="006D595D"/>
    <w:rsid w:val="006D791F"/>
    <w:rsid w:val="006E096B"/>
    <w:rsid w:val="006E1F75"/>
    <w:rsid w:val="006E5A90"/>
    <w:rsid w:val="006E7D5E"/>
    <w:rsid w:val="006F1969"/>
    <w:rsid w:val="006F32B2"/>
    <w:rsid w:val="006F581A"/>
    <w:rsid w:val="00705D99"/>
    <w:rsid w:val="00706115"/>
    <w:rsid w:val="0071039C"/>
    <w:rsid w:val="00711213"/>
    <w:rsid w:val="00714D83"/>
    <w:rsid w:val="007150EA"/>
    <w:rsid w:val="00715587"/>
    <w:rsid w:val="00717508"/>
    <w:rsid w:val="00720C11"/>
    <w:rsid w:val="007221AE"/>
    <w:rsid w:val="00722450"/>
    <w:rsid w:val="00723D0F"/>
    <w:rsid w:val="007253D8"/>
    <w:rsid w:val="00733A7A"/>
    <w:rsid w:val="00733E3B"/>
    <w:rsid w:val="00734125"/>
    <w:rsid w:val="00734714"/>
    <w:rsid w:val="007371DE"/>
    <w:rsid w:val="00737C5B"/>
    <w:rsid w:val="00740A76"/>
    <w:rsid w:val="00740BF5"/>
    <w:rsid w:val="007468AA"/>
    <w:rsid w:val="00746A22"/>
    <w:rsid w:val="0074736A"/>
    <w:rsid w:val="0075290B"/>
    <w:rsid w:val="00755D42"/>
    <w:rsid w:val="007572A6"/>
    <w:rsid w:val="00757A19"/>
    <w:rsid w:val="00757FEB"/>
    <w:rsid w:val="0076024E"/>
    <w:rsid w:val="00760631"/>
    <w:rsid w:val="007611C7"/>
    <w:rsid w:val="007651CA"/>
    <w:rsid w:val="00765FB7"/>
    <w:rsid w:val="007663A1"/>
    <w:rsid w:val="00770AD1"/>
    <w:rsid w:val="00771FBD"/>
    <w:rsid w:val="00773D36"/>
    <w:rsid w:val="007750B1"/>
    <w:rsid w:val="007764E2"/>
    <w:rsid w:val="007773C1"/>
    <w:rsid w:val="00777C71"/>
    <w:rsid w:val="00782E48"/>
    <w:rsid w:val="00787C3D"/>
    <w:rsid w:val="007903B8"/>
    <w:rsid w:val="00790556"/>
    <w:rsid w:val="00790F82"/>
    <w:rsid w:val="00793643"/>
    <w:rsid w:val="007950CD"/>
    <w:rsid w:val="00797747"/>
    <w:rsid w:val="00797856"/>
    <w:rsid w:val="007A4701"/>
    <w:rsid w:val="007B04CA"/>
    <w:rsid w:val="007B1402"/>
    <w:rsid w:val="007B3282"/>
    <w:rsid w:val="007B7739"/>
    <w:rsid w:val="007C027E"/>
    <w:rsid w:val="007C088A"/>
    <w:rsid w:val="007C132E"/>
    <w:rsid w:val="007C4C82"/>
    <w:rsid w:val="007C5DBE"/>
    <w:rsid w:val="007D000B"/>
    <w:rsid w:val="007D02E2"/>
    <w:rsid w:val="007D0382"/>
    <w:rsid w:val="007D08AB"/>
    <w:rsid w:val="007D5EAE"/>
    <w:rsid w:val="007D68D2"/>
    <w:rsid w:val="007E148A"/>
    <w:rsid w:val="007E173E"/>
    <w:rsid w:val="007E20B8"/>
    <w:rsid w:val="007E39D4"/>
    <w:rsid w:val="007E3A2D"/>
    <w:rsid w:val="007E4F5C"/>
    <w:rsid w:val="007E552A"/>
    <w:rsid w:val="007F193B"/>
    <w:rsid w:val="007F1FF0"/>
    <w:rsid w:val="007F24C8"/>
    <w:rsid w:val="007F25A2"/>
    <w:rsid w:val="007F34B3"/>
    <w:rsid w:val="007F39B9"/>
    <w:rsid w:val="007F4103"/>
    <w:rsid w:val="007F5B17"/>
    <w:rsid w:val="007F5D57"/>
    <w:rsid w:val="007F5FAC"/>
    <w:rsid w:val="008004EB"/>
    <w:rsid w:val="008012D0"/>
    <w:rsid w:val="00801344"/>
    <w:rsid w:val="00801559"/>
    <w:rsid w:val="00801590"/>
    <w:rsid w:val="008031C4"/>
    <w:rsid w:val="00803C47"/>
    <w:rsid w:val="0080690D"/>
    <w:rsid w:val="00811C72"/>
    <w:rsid w:val="00812B49"/>
    <w:rsid w:val="0081640B"/>
    <w:rsid w:val="00820232"/>
    <w:rsid w:val="008212D4"/>
    <w:rsid w:val="008213F4"/>
    <w:rsid w:val="00821CD8"/>
    <w:rsid w:val="00825D9D"/>
    <w:rsid w:val="00826BD4"/>
    <w:rsid w:val="00827E94"/>
    <w:rsid w:val="00830601"/>
    <w:rsid w:val="008410F0"/>
    <w:rsid w:val="00846C71"/>
    <w:rsid w:val="00851480"/>
    <w:rsid w:val="00854E7F"/>
    <w:rsid w:val="008557E8"/>
    <w:rsid w:val="008570F4"/>
    <w:rsid w:val="0086124B"/>
    <w:rsid w:val="008622E6"/>
    <w:rsid w:val="00862473"/>
    <w:rsid w:val="008632C9"/>
    <w:rsid w:val="0086363B"/>
    <w:rsid w:val="0087264E"/>
    <w:rsid w:val="00872B04"/>
    <w:rsid w:val="008746BE"/>
    <w:rsid w:val="008760CC"/>
    <w:rsid w:val="00877238"/>
    <w:rsid w:val="00880E87"/>
    <w:rsid w:val="0088108A"/>
    <w:rsid w:val="008826BA"/>
    <w:rsid w:val="008837D8"/>
    <w:rsid w:val="00893661"/>
    <w:rsid w:val="00894CFB"/>
    <w:rsid w:val="00894ECA"/>
    <w:rsid w:val="00896143"/>
    <w:rsid w:val="0089645C"/>
    <w:rsid w:val="00896659"/>
    <w:rsid w:val="008972BD"/>
    <w:rsid w:val="008A136E"/>
    <w:rsid w:val="008A187A"/>
    <w:rsid w:val="008A3DF1"/>
    <w:rsid w:val="008A569E"/>
    <w:rsid w:val="008A6510"/>
    <w:rsid w:val="008B21F3"/>
    <w:rsid w:val="008B4279"/>
    <w:rsid w:val="008B50F3"/>
    <w:rsid w:val="008B7E46"/>
    <w:rsid w:val="008C2BF1"/>
    <w:rsid w:val="008C56DB"/>
    <w:rsid w:val="008C7DAD"/>
    <w:rsid w:val="008D11E8"/>
    <w:rsid w:val="008D3164"/>
    <w:rsid w:val="008D3FAC"/>
    <w:rsid w:val="008D40EF"/>
    <w:rsid w:val="008E3236"/>
    <w:rsid w:val="008E3927"/>
    <w:rsid w:val="008E4EE7"/>
    <w:rsid w:val="008E553C"/>
    <w:rsid w:val="008E77BB"/>
    <w:rsid w:val="008F58E4"/>
    <w:rsid w:val="009006DD"/>
    <w:rsid w:val="009026E5"/>
    <w:rsid w:val="0090275C"/>
    <w:rsid w:val="00902867"/>
    <w:rsid w:val="00912C40"/>
    <w:rsid w:val="00913DA7"/>
    <w:rsid w:val="00914208"/>
    <w:rsid w:val="009167E4"/>
    <w:rsid w:val="009203EF"/>
    <w:rsid w:val="00920E73"/>
    <w:rsid w:val="00921AF3"/>
    <w:rsid w:val="009257D1"/>
    <w:rsid w:val="00932D9C"/>
    <w:rsid w:val="00937FCE"/>
    <w:rsid w:val="00950E2F"/>
    <w:rsid w:val="00952AF5"/>
    <w:rsid w:val="009607CC"/>
    <w:rsid w:val="009608F3"/>
    <w:rsid w:val="00960E52"/>
    <w:rsid w:val="00966539"/>
    <w:rsid w:val="00966E32"/>
    <w:rsid w:val="00967690"/>
    <w:rsid w:val="00967F2A"/>
    <w:rsid w:val="00970073"/>
    <w:rsid w:val="00971C50"/>
    <w:rsid w:val="00975ACD"/>
    <w:rsid w:val="00975D9D"/>
    <w:rsid w:val="00975F77"/>
    <w:rsid w:val="009808FC"/>
    <w:rsid w:val="009809C1"/>
    <w:rsid w:val="009829BB"/>
    <w:rsid w:val="00982E98"/>
    <w:rsid w:val="009856F7"/>
    <w:rsid w:val="00986320"/>
    <w:rsid w:val="009874FB"/>
    <w:rsid w:val="00987E2E"/>
    <w:rsid w:val="00991225"/>
    <w:rsid w:val="00991D0F"/>
    <w:rsid w:val="009A06A8"/>
    <w:rsid w:val="009A0775"/>
    <w:rsid w:val="009A1B3B"/>
    <w:rsid w:val="009A37EC"/>
    <w:rsid w:val="009A50F9"/>
    <w:rsid w:val="009A5A48"/>
    <w:rsid w:val="009A5BF4"/>
    <w:rsid w:val="009A79D9"/>
    <w:rsid w:val="009B0E8B"/>
    <w:rsid w:val="009B172D"/>
    <w:rsid w:val="009B6F65"/>
    <w:rsid w:val="009D009E"/>
    <w:rsid w:val="009D1E54"/>
    <w:rsid w:val="009D2093"/>
    <w:rsid w:val="009D2ECA"/>
    <w:rsid w:val="009D7933"/>
    <w:rsid w:val="009D7C7B"/>
    <w:rsid w:val="009E2AD1"/>
    <w:rsid w:val="009E5986"/>
    <w:rsid w:val="009E6D6B"/>
    <w:rsid w:val="009E7659"/>
    <w:rsid w:val="009F1033"/>
    <w:rsid w:val="009F24A9"/>
    <w:rsid w:val="009F3BD0"/>
    <w:rsid w:val="00A046B4"/>
    <w:rsid w:val="00A06D0E"/>
    <w:rsid w:val="00A109F0"/>
    <w:rsid w:val="00A12D55"/>
    <w:rsid w:val="00A143C5"/>
    <w:rsid w:val="00A157CD"/>
    <w:rsid w:val="00A2200B"/>
    <w:rsid w:val="00A25DC5"/>
    <w:rsid w:val="00A27F13"/>
    <w:rsid w:val="00A30091"/>
    <w:rsid w:val="00A303B1"/>
    <w:rsid w:val="00A30A9C"/>
    <w:rsid w:val="00A32B18"/>
    <w:rsid w:val="00A346E1"/>
    <w:rsid w:val="00A40492"/>
    <w:rsid w:val="00A40B12"/>
    <w:rsid w:val="00A4181B"/>
    <w:rsid w:val="00A44D2E"/>
    <w:rsid w:val="00A44E6D"/>
    <w:rsid w:val="00A45E8D"/>
    <w:rsid w:val="00A46A14"/>
    <w:rsid w:val="00A5097E"/>
    <w:rsid w:val="00A51872"/>
    <w:rsid w:val="00A5699F"/>
    <w:rsid w:val="00A60501"/>
    <w:rsid w:val="00A60BC0"/>
    <w:rsid w:val="00A64321"/>
    <w:rsid w:val="00A65756"/>
    <w:rsid w:val="00A67505"/>
    <w:rsid w:val="00A71958"/>
    <w:rsid w:val="00A71C80"/>
    <w:rsid w:val="00A72A47"/>
    <w:rsid w:val="00A76ADD"/>
    <w:rsid w:val="00A7781A"/>
    <w:rsid w:val="00A77F24"/>
    <w:rsid w:val="00A8042C"/>
    <w:rsid w:val="00A80D57"/>
    <w:rsid w:val="00A8489B"/>
    <w:rsid w:val="00A903F4"/>
    <w:rsid w:val="00A92974"/>
    <w:rsid w:val="00A93F78"/>
    <w:rsid w:val="00A944A9"/>
    <w:rsid w:val="00A94AEE"/>
    <w:rsid w:val="00A95011"/>
    <w:rsid w:val="00AA1D0D"/>
    <w:rsid w:val="00AA4549"/>
    <w:rsid w:val="00AA51D5"/>
    <w:rsid w:val="00AA6C53"/>
    <w:rsid w:val="00AB0B02"/>
    <w:rsid w:val="00AB2F23"/>
    <w:rsid w:val="00AC021C"/>
    <w:rsid w:val="00AC2420"/>
    <w:rsid w:val="00AC6C57"/>
    <w:rsid w:val="00AD19F2"/>
    <w:rsid w:val="00AD2A84"/>
    <w:rsid w:val="00AD3407"/>
    <w:rsid w:val="00AD52E2"/>
    <w:rsid w:val="00AD620F"/>
    <w:rsid w:val="00AD65BA"/>
    <w:rsid w:val="00AE101F"/>
    <w:rsid w:val="00AE12CA"/>
    <w:rsid w:val="00AE23D6"/>
    <w:rsid w:val="00AE5E46"/>
    <w:rsid w:val="00AE7876"/>
    <w:rsid w:val="00AE7DA0"/>
    <w:rsid w:val="00AF2610"/>
    <w:rsid w:val="00AF7B40"/>
    <w:rsid w:val="00B02149"/>
    <w:rsid w:val="00B0276E"/>
    <w:rsid w:val="00B04B5B"/>
    <w:rsid w:val="00B05490"/>
    <w:rsid w:val="00B1000B"/>
    <w:rsid w:val="00B10AA1"/>
    <w:rsid w:val="00B12FE8"/>
    <w:rsid w:val="00B133C1"/>
    <w:rsid w:val="00B162B5"/>
    <w:rsid w:val="00B1793D"/>
    <w:rsid w:val="00B24A66"/>
    <w:rsid w:val="00B25624"/>
    <w:rsid w:val="00B30A36"/>
    <w:rsid w:val="00B32B12"/>
    <w:rsid w:val="00B33D86"/>
    <w:rsid w:val="00B33FFD"/>
    <w:rsid w:val="00B34947"/>
    <w:rsid w:val="00B373B6"/>
    <w:rsid w:val="00B405FD"/>
    <w:rsid w:val="00B414D5"/>
    <w:rsid w:val="00B42386"/>
    <w:rsid w:val="00B43637"/>
    <w:rsid w:val="00B441D1"/>
    <w:rsid w:val="00B45118"/>
    <w:rsid w:val="00B45BC1"/>
    <w:rsid w:val="00B50A14"/>
    <w:rsid w:val="00B523B8"/>
    <w:rsid w:val="00B572FF"/>
    <w:rsid w:val="00B57548"/>
    <w:rsid w:val="00B57C5C"/>
    <w:rsid w:val="00B61A1E"/>
    <w:rsid w:val="00B62EAA"/>
    <w:rsid w:val="00B64988"/>
    <w:rsid w:val="00B64F50"/>
    <w:rsid w:val="00B65CA2"/>
    <w:rsid w:val="00B73642"/>
    <w:rsid w:val="00B75371"/>
    <w:rsid w:val="00B76318"/>
    <w:rsid w:val="00B763EF"/>
    <w:rsid w:val="00B76486"/>
    <w:rsid w:val="00B77E13"/>
    <w:rsid w:val="00B804CB"/>
    <w:rsid w:val="00B805E5"/>
    <w:rsid w:val="00B830D5"/>
    <w:rsid w:val="00B84290"/>
    <w:rsid w:val="00B847BB"/>
    <w:rsid w:val="00B85537"/>
    <w:rsid w:val="00B86F00"/>
    <w:rsid w:val="00B90751"/>
    <w:rsid w:val="00B909F8"/>
    <w:rsid w:val="00B90E32"/>
    <w:rsid w:val="00B9296D"/>
    <w:rsid w:val="00B92BFF"/>
    <w:rsid w:val="00B92FB1"/>
    <w:rsid w:val="00B93943"/>
    <w:rsid w:val="00B93CEE"/>
    <w:rsid w:val="00B964E0"/>
    <w:rsid w:val="00BA44E5"/>
    <w:rsid w:val="00BA602B"/>
    <w:rsid w:val="00BB1547"/>
    <w:rsid w:val="00BB318F"/>
    <w:rsid w:val="00BB3EEB"/>
    <w:rsid w:val="00BB6CDD"/>
    <w:rsid w:val="00BB7002"/>
    <w:rsid w:val="00BC6948"/>
    <w:rsid w:val="00BD3766"/>
    <w:rsid w:val="00BD3C9F"/>
    <w:rsid w:val="00BD4B85"/>
    <w:rsid w:val="00BD4BC4"/>
    <w:rsid w:val="00BD58AF"/>
    <w:rsid w:val="00BD5C3A"/>
    <w:rsid w:val="00BD5D20"/>
    <w:rsid w:val="00BD6E05"/>
    <w:rsid w:val="00BE7065"/>
    <w:rsid w:val="00BF308C"/>
    <w:rsid w:val="00BF4FF5"/>
    <w:rsid w:val="00BF528E"/>
    <w:rsid w:val="00BF6782"/>
    <w:rsid w:val="00C0299C"/>
    <w:rsid w:val="00C042C9"/>
    <w:rsid w:val="00C05545"/>
    <w:rsid w:val="00C063E8"/>
    <w:rsid w:val="00C11F9B"/>
    <w:rsid w:val="00C1374E"/>
    <w:rsid w:val="00C14F51"/>
    <w:rsid w:val="00C20289"/>
    <w:rsid w:val="00C20AAD"/>
    <w:rsid w:val="00C236A0"/>
    <w:rsid w:val="00C27A25"/>
    <w:rsid w:val="00C27B49"/>
    <w:rsid w:val="00C30893"/>
    <w:rsid w:val="00C3161E"/>
    <w:rsid w:val="00C31D06"/>
    <w:rsid w:val="00C32E09"/>
    <w:rsid w:val="00C33E6A"/>
    <w:rsid w:val="00C35807"/>
    <w:rsid w:val="00C35BBE"/>
    <w:rsid w:val="00C35BC5"/>
    <w:rsid w:val="00C36003"/>
    <w:rsid w:val="00C40E8E"/>
    <w:rsid w:val="00C41AF2"/>
    <w:rsid w:val="00C433A4"/>
    <w:rsid w:val="00C45C08"/>
    <w:rsid w:val="00C45C81"/>
    <w:rsid w:val="00C468EA"/>
    <w:rsid w:val="00C4784C"/>
    <w:rsid w:val="00C529B1"/>
    <w:rsid w:val="00C53050"/>
    <w:rsid w:val="00C55318"/>
    <w:rsid w:val="00C559EA"/>
    <w:rsid w:val="00C56267"/>
    <w:rsid w:val="00C575E8"/>
    <w:rsid w:val="00C57A2C"/>
    <w:rsid w:val="00C60B40"/>
    <w:rsid w:val="00C60C06"/>
    <w:rsid w:val="00C61BAD"/>
    <w:rsid w:val="00C62663"/>
    <w:rsid w:val="00C64418"/>
    <w:rsid w:val="00C831A3"/>
    <w:rsid w:val="00C832E2"/>
    <w:rsid w:val="00C838F3"/>
    <w:rsid w:val="00C84CEA"/>
    <w:rsid w:val="00C86FE0"/>
    <w:rsid w:val="00C87879"/>
    <w:rsid w:val="00C91306"/>
    <w:rsid w:val="00C97A42"/>
    <w:rsid w:val="00CA0381"/>
    <w:rsid w:val="00CA06A6"/>
    <w:rsid w:val="00CA106D"/>
    <w:rsid w:val="00CA2417"/>
    <w:rsid w:val="00CA4B25"/>
    <w:rsid w:val="00CA5249"/>
    <w:rsid w:val="00CB0467"/>
    <w:rsid w:val="00CB343A"/>
    <w:rsid w:val="00CB460B"/>
    <w:rsid w:val="00CC0B23"/>
    <w:rsid w:val="00CC345D"/>
    <w:rsid w:val="00CC39DE"/>
    <w:rsid w:val="00CC4092"/>
    <w:rsid w:val="00CC587C"/>
    <w:rsid w:val="00CC59A4"/>
    <w:rsid w:val="00CC5E2D"/>
    <w:rsid w:val="00CC715B"/>
    <w:rsid w:val="00CD2C9A"/>
    <w:rsid w:val="00CD3FFD"/>
    <w:rsid w:val="00CE0C75"/>
    <w:rsid w:val="00CE3471"/>
    <w:rsid w:val="00CF2001"/>
    <w:rsid w:val="00CF33F0"/>
    <w:rsid w:val="00CF52F4"/>
    <w:rsid w:val="00CF795D"/>
    <w:rsid w:val="00D01892"/>
    <w:rsid w:val="00D045BC"/>
    <w:rsid w:val="00D05858"/>
    <w:rsid w:val="00D05F3B"/>
    <w:rsid w:val="00D108A0"/>
    <w:rsid w:val="00D1136F"/>
    <w:rsid w:val="00D2014D"/>
    <w:rsid w:val="00D21E93"/>
    <w:rsid w:val="00D319AD"/>
    <w:rsid w:val="00D321B7"/>
    <w:rsid w:val="00D378E8"/>
    <w:rsid w:val="00D45AA2"/>
    <w:rsid w:val="00D521BB"/>
    <w:rsid w:val="00D55163"/>
    <w:rsid w:val="00D55DFB"/>
    <w:rsid w:val="00D60969"/>
    <w:rsid w:val="00D66F25"/>
    <w:rsid w:val="00D67C26"/>
    <w:rsid w:val="00D7203D"/>
    <w:rsid w:val="00D74BED"/>
    <w:rsid w:val="00D77ECB"/>
    <w:rsid w:val="00D81542"/>
    <w:rsid w:val="00D81606"/>
    <w:rsid w:val="00D82A25"/>
    <w:rsid w:val="00D87B4D"/>
    <w:rsid w:val="00D87BC5"/>
    <w:rsid w:val="00D87F4F"/>
    <w:rsid w:val="00D9000E"/>
    <w:rsid w:val="00D97016"/>
    <w:rsid w:val="00DA3A9D"/>
    <w:rsid w:val="00DA6D18"/>
    <w:rsid w:val="00DA7C08"/>
    <w:rsid w:val="00DB0377"/>
    <w:rsid w:val="00DB1104"/>
    <w:rsid w:val="00DB3986"/>
    <w:rsid w:val="00DB409C"/>
    <w:rsid w:val="00DB64B6"/>
    <w:rsid w:val="00DB7274"/>
    <w:rsid w:val="00DC0B00"/>
    <w:rsid w:val="00DD0F06"/>
    <w:rsid w:val="00DD1422"/>
    <w:rsid w:val="00DD388A"/>
    <w:rsid w:val="00DD5887"/>
    <w:rsid w:val="00DD72CB"/>
    <w:rsid w:val="00DD7377"/>
    <w:rsid w:val="00DE269B"/>
    <w:rsid w:val="00DE5909"/>
    <w:rsid w:val="00DF55F2"/>
    <w:rsid w:val="00DF5A94"/>
    <w:rsid w:val="00DF6644"/>
    <w:rsid w:val="00E00E2A"/>
    <w:rsid w:val="00E022C4"/>
    <w:rsid w:val="00E03A8B"/>
    <w:rsid w:val="00E03E38"/>
    <w:rsid w:val="00E04645"/>
    <w:rsid w:val="00E07840"/>
    <w:rsid w:val="00E10D86"/>
    <w:rsid w:val="00E1205D"/>
    <w:rsid w:val="00E151C7"/>
    <w:rsid w:val="00E152F5"/>
    <w:rsid w:val="00E25B10"/>
    <w:rsid w:val="00E26397"/>
    <w:rsid w:val="00E2744D"/>
    <w:rsid w:val="00E2792D"/>
    <w:rsid w:val="00E314DA"/>
    <w:rsid w:val="00E31E9C"/>
    <w:rsid w:val="00E327C0"/>
    <w:rsid w:val="00E32CE3"/>
    <w:rsid w:val="00E35AA9"/>
    <w:rsid w:val="00E35C42"/>
    <w:rsid w:val="00E3653E"/>
    <w:rsid w:val="00E40EC6"/>
    <w:rsid w:val="00E467E2"/>
    <w:rsid w:val="00E47FA3"/>
    <w:rsid w:val="00E56E9C"/>
    <w:rsid w:val="00E56F98"/>
    <w:rsid w:val="00E629C3"/>
    <w:rsid w:val="00E62EDF"/>
    <w:rsid w:val="00E65E0F"/>
    <w:rsid w:val="00E6629C"/>
    <w:rsid w:val="00E72E17"/>
    <w:rsid w:val="00E7656F"/>
    <w:rsid w:val="00E809EF"/>
    <w:rsid w:val="00E85A97"/>
    <w:rsid w:val="00E86C1B"/>
    <w:rsid w:val="00E9144B"/>
    <w:rsid w:val="00E94601"/>
    <w:rsid w:val="00E97891"/>
    <w:rsid w:val="00EA15D6"/>
    <w:rsid w:val="00EA5305"/>
    <w:rsid w:val="00EB0695"/>
    <w:rsid w:val="00EB327A"/>
    <w:rsid w:val="00EB3730"/>
    <w:rsid w:val="00EB3A64"/>
    <w:rsid w:val="00EB52E0"/>
    <w:rsid w:val="00EC5018"/>
    <w:rsid w:val="00ED3A99"/>
    <w:rsid w:val="00ED4C80"/>
    <w:rsid w:val="00ED5D27"/>
    <w:rsid w:val="00EE19D8"/>
    <w:rsid w:val="00EE1DC3"/>
    <w:rsid w:val="00EE2733"/>
    <w:rsid w:val="00EE38FB"/>
    <w:rsid w:val="00EE5E67"/>
    <w:rsid w:val="00EE7CCF"/>
    <w:rsid w:val="00EF03F1"/>
    <w:rsid w:val="00EF0786"/>
    <w:rsid w:val="00EF274F"/>
    <w:rsid w:val="00EF2A50"/>
    <w:rsid w:val="00EF5563"/>
    <w:rsid w:val="00EF66E5"/>
    <w:rsid w:val="00EF6B6B"/>
    <w:rsid w:val="00F041EC"/>
    <w:rsid w:val="00F04618"/>
    <w:rsid w:val="00F07C0F"/>
    <w:rsid w:val="00F172D8"/>
    <w:rsid w:val="00F20F5A"/>
    <w:rsid w:val="00F210B3"/>
    <w:rsid w:val="00F22D30"/>
    <w:rsid w:val="00F2317C"/>
    <w:rsid w:val="00F279D9"/>
    <w:rsid w:val="00F33836"/>
    <w:rsid w:val="00F3720C"/>
    <w:rsid w:val="00F428A4"/>
    <w:rsid w:val="00F43264"/>
    <w:rsid w:val="00F44A1E"/>
    <w:rsid w:val="00F45634"/>
    <w:rsid w:val="00F45DB6"/>
    <w:rsid w:val="00F52C42"/>
    <w:rsid w:val="00F53196"/>
    <w:rsid w:val="00F571E2"/>
    <w:rsid w:val="00F62209"/>
    <w:rsid w:val="00F62300"/>
    <w:rsid w:val="00F62F39"/>
    <w:rsid w:val="00F63677"/>
    <w:rsid w:val="00F67C96"/>
    <w:rsid w:val="00F705D8"/>
    <w:rsid w:val="00F70E71"/>
    <w:rsid w:val="00F710B5"/>
    <w:rsid w:val="00F72C19"/>
    <w:rsid w:val="00F80BA3"/>
    <w:rsid w:val="00F80EAC"/>
    <w:rsid w:val="00F81A87"/>
    <w:rsid w:val="00F82148"/>
    <w:rsid w:val="00F8256E"/>
    <w:rsid w:val="00F839E0"/>
    <w:rsid w:val="00F86A9D"/>
    <w:rsid w:val="00F87EB3"/>
    <w:rsid w:val="00F935E8"/>
    <w:rsid w:val="00F93911"/>
    <w:rsid w:val="00F95C8E"/>
    <w:rsid w:val="00F97D5B"/>
    <w:rsid w:val="00FA014C"/>
    <w:rsid w:val="00FA0E50"/>
    <w:rsid w:val="00FA1DBC"/>
    <w:rsid w:val="00FA2070"/>
    <w:rsid w:val="00FA23C1"/>
    <w:rsid w:val="00FA2854"/>
    <w:rsid w:val="00FA41E2"/>
    <w:rsid w:val="00FA5C72"/>
    <w:rsid w:val="00FA6837"/>
    <w:rsid w:val="00FB0F49"/>
    <w:rsid w:val="00FB1122"/>
    <w:rsid w:val="00FB1CF0"/>
    <w:rsid w:val="00FB70D2"/>
    <w:rsid w:val="00FC0037"/>
    <w:rsid w:val="00FC064B"/>
    <w:rsid w:val="00FC2D28"/>
    <w:rsid w:val="00FC491B"/>
    <w:rsid w:val="00FC4AF4"/>
    <w:rsid w:val="00FC6240"/>
    <w:rsid w:val="00FC6C38"/>
    <w:rsid w:val="00FD1544"/>
    <w:rsid w:val="00FD27C3"/>
    <w:rsid w:val="00FD4D57"/>
    <w:rsid w:val="00FD6CE2"/>
    <w:rsid w:val="00FD7446"/>
    <w:rsid w:val="00FE2CE4"/>
    <w:rsid w:val="00FE779F"/>
    <w:rsid w:val="00FF13F4"/>
    <w:rsid w:val="00FF36BC"/>
    <w:rsid w:val="00FF3FF1"/>
    <w:rsid w:val="00FF4D06"/>
    <w:rsid w:val="00FF6821"/>
    <w:rsid w:val="00FF6C11"/>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toc 1" w:uiPriority="39"/>
    <w:lsdException w:name="toc 2" w:uiPriority="39"/>
    <w:lsdException w:name="toc 3" w:uiPriority="39"/>
    <w:lsdException w:name="footnote text" w:uiPriority="99"/>
    <w:lsdException w:name="footnote reference" w:uiPriority="99"/>
    <w:lsdException w:name="Hyperlink" w:uiPriority="99"/>
    <w:lsdException w:name="Emphasis" w:uiPriority="20" w:qFormat="1"/>
    <w:lsdException w:name="Normal (Web)" w:uiPriority="99"/>
    <w:lsdException w:name="Table Grid" w:uiPriority="59"/>
    <w:lsdException w:name="List Paragraph" w:uiPriority="34" w:qFormat="1"/>
    <w:lsdException w:name="TOC Heading" w:uiPriority="39" w:qFormat="1"/>
  </w:latentStyles>
  <w:style w:type="paragraph" w:default="1" w:styleId="Normal">
    <w:name w:val="Normal"/>
    <w:qFormat/>
    <w:rsid w:val="00207046"/>
  </w:style>
  <w:style w:type="paragraph" w:styleId="Heading1">
    <w:name w:val="heading 1"/>
    <w:basedOn w:val="Normal"/>
    <w:next w:val="Normal"/>
    <w:link w:val="Heading1Char"/>
    <w:uiPriority w:val="9"/>
    <w:qFormat/>
    <w:rsid w:val="002070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70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70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0704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0704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0704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0704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0704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20704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4673D"/>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791B66"/>
    <w:rPr>
      <w:rFonts w:ascii="Lucida Grande" w:hAnsi="Lucida Grande"/>
      <w:sz w:val="18"/>
      <w:szCs w:val="18"/>
    </w:rPr>
  </w:style>
  <w:style w:type="paragraph" w:styleId="ListParagraph">
    <w:name w:val="List Paragraph"/>
    <w:basedOn w:val="Normal"/>
    <w:uiPriority w:val="34"/>
    <w:qFormat/>
    <w:rsid w:val="00207046"/>
    <w:pPr>
      <w:ind w:left="720"/>
      <w:contextualSpacing/>
    </w:pPr>
  </w:style>
  <w:style w:type="paragraph" w:styleId="Header">
    <w:name w:val="header"/>
    <w:basedOn w:val="Normal"/>
    <w:link w:val="HeaderChar"/>
    <w:uiPriority w:val="99"/>
    <w:unhideWhenUsed/>
    <w:rsid w:val="00546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73D"/>
  </w:style>
  <w:style w:type="paragraph" w:styleId="Footer">
    <w:name w:val="footer"/>
    <w:basedOn w:val="Normal"/>
    <w:link w:val="FooterChar"/>
    <w:uiPriority w:val="99"/>
    <w:unhideWhenUsed/>
    <w:rsid w:val="00546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73D"/>
  </w:style>
  <w:style w:type="character" w:customStyle="1" w:styleId="BalloonTextChar1">
    <w:name w:val="Balloon Text Char1"/>
    <w:basedOn w:val="DefaultParagraphFont"/>
    <w:link w:val="BalloonText"/>
    <w:uiPriority w:val="99"/>
    <w:semiHidden/>
    <w:rsid w:val="0054673D"/>
    <w:rPr>
      <w:rFonts w:ascii="Tahoma" w:hAnsi="Tahoma" w:cs="Tahoma"/>
      <w:sz w:val="16"/>
      <w:szCs w:val="16"/>
    </w:rPr>
  </w:style>
  <w:style w:type="character" w:customStyle="1" w:styleId="apple-converted-space">
    <w:name w:val="apple-converted-space"/>
    <w:basedOn w:val="DefaultParagraphFont"/>
    <w:rsid w:val="00366861"/>
  </w:style>
  <w:style w:type="paragraph" w:styleId="FootnoteText">
    <w:name w:val="footnote text"/>
    <w:basedOn w:val="Normal"/>
    <w:link w:val="FootnoteTextChar"/>
    <w:uiPriority w:val="99"/>
    <w:semiHidden/>
    <w:unhideWhenUsed/>
    <w:rsid w:val="00B24A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A66"/>
    <w:rPr>
      <w:sz w:val="20"/>
      <w:szCs w:val="20"/>
    </w:rPr>
  </w:style>
  <w:style w:type="character" w:styleId="FootnoteReference">
    <w:name w:val="footnote reference"/>
    <w:basedOn w:val="DefaultParagraphFont"/>
    <w:uiPriority w:val="99"/>
    <w:semiHidden/>
    <w:unhideWhenUsed/>
    <w:rsid w:val="00B24A66"/>
    <w:rPr>
      <w:vertAlign w:val="superscript"/>
    </w:rPr>
  </w:style>
  <w:style w:type="paragraph" w:styleId="NormalWeb">
    <w:name w:val="Normal (Web)"/>
    <w:basedOn w:val="Normal"/>
    <w:uiPriority w:val="99"/>
    <w:unhideWhenUsed/>
    <w:rsid w:val="00E6629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A79D9"/>
    <w:rPr>
      <w:color w:val="0000FF" w:themeColor="hyperlink"/>
      <w:u w:val="single"/>
    </w:rPr>
  </w:style>
  <w:style w:type="character" w:styleId="FollowedHyperlink">
    <w:name w:val="FollowedHyperlink"/>
    <w:basedOn w:val="DefaultParagraphFont"/>
    <w:rsid w:val="00393BC7"/>
    <w:rPr>
      <w:color w:val="800080" w:themeColor="followedHyperlink"/>
      <w:u w:val="single"/>
    </w:rPr>
  </w:style>
  <w:style w:type="character" w:customStyle="1" w:styleId="Heading1Char">
    <w:name w:val="Heading 1 Char"/>
    <w:basedOn w:val="DefaultParagraphFont"/>
    <w:link w:val="Heading1"/>
    <w:uiPriority w:val="9"/>
    <w:rsid w:val="00207046"/>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rsid w:val="00207046"/>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DD3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
    <w:name w:val="Colorful Grid"/>
    <w:basedOn w:val="TableNormal"/>
    <w:rsid w:val="00DD388A"/>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rsid w:val="000176E9"/>
    <w:rPr>
      <w:sz w:val="16"/>
      <w:szCs w:val="16"/>
    </w:rPr>
  </w:style>
  <w:style w:type="paragraph" w:styleId="CommentText">
    <w:name w:val="annotation text"/>
    <w:basedOn w:val="Normal"/>
    <w:link w:val="CommentTextChar"/>
    <w:rsid w:val="000176E9"/>
    <w:pPr>
      <w:spacing w:line="240" w:lineRule="auto"/>
    </w:pPr>
    <w:rPr>
      <w:sz w:val="20"/>
      <w:szCs w:val="20"/>
    </w:rPr>
  </w:style>
  <w:style w:type="character" w:customStyle="1" w:styleId="CommentTextChar">
    <w:name w:val="Comment Text Char"/>
    <w:basedOn w:val="DefaultParagraphFont"/>
    <w:link w:val="CommentText"/>
    <w:rsid w:val="000176E9"/>
    <w:rPr>
      <w:sz w:val="20"/>
      <w:szCs w:val="20"/>
    </w:rPr>
  </w:style>
  <w:style w:type="paragraph" w:styleId="CommentSubject">
    <w:name w:val="annotation subject"/>
    <w:basedOn w:val="CommentText"/>
    <w:next w:val="CommentText"/>
    <w:link w:val="CommentSubjectChar"/>
    <w:rsid w:val="000176E9"/>
    <w:rPr>
      <w:b/>
      <w:bCs/>
    </w:rPr>
  </w:style>
  <w:style w:type="character" w:customStyle="1" w:styleId="CommentSubjectChar">
    <w:name w:val="Comment Subject Char"/>
    <w:basedOn w:val="CommentTextChar"/>
    <w:link w:val="CommentSubject"/>
    <w:rsid w:val="000176E9"/>
    <w:rPr>
      <w:b/>
      <w:bCs/>
      <w:sz w:val="20"/>
      <w:szCs w:val="20"/>
    </w:rPr>
  </w:style>
  <w:style w:type="character" w:styleId="PageNumber">
    <w:name w:val="page number"/>
    <w:basedOn w:val="DefaultParagraphFont"/>
    <w:rsid w:val="001452BB"/>
  </w:style>
  <w:style w:type="paragraph" w:customStyle="1" w:styleId="DeskReview1">
    <w:name w:val="DeskReview1"/>
    <w:basedOn w:val="ListParagraph"/>
    <w:rsid w:val="00AC6C57"/>
    <w:pPr>
      <w:numPr>
        <w:numId w:val="3"/>
      </w:numPr>
      <w:spacing w:after="0" w:line="240" w:lineRule="auto"/>
    </w:pPr>
    <w:rPr>
      <w:rFonts w:ascii="Arial" w:hAnsi="Arial" w:cs="Arial"/>
      <w:b/>
      <w:color w:val="31849B" w:themeColor="accent5" w:themeShade="BF"/>
      <w:sz w:val="28"/>
      <w:szCs w:val="28"/>
    </w:rPr>
  </w:style>
  <w:style w:type="paragraph" w:customStyle="1" w:styleId="DeskReview3">
    <w:name w:val="DeskReview3"/>
    <w:basedOn w:val="Normal"/>
    <w:rsid w:val="00AC6C57"/>
    <w:pPr>
      <w:spacing w:after="0" w:line="240" w:lineRule="auto"/>
    </w:pPr>
    <w:rPr>
      <w:rFonts w:ascii="Arial" w:hAnsi="Arial" w:cs="Arial"/>
      <w:i/>
      <w:color w:val="404040" w:themeColor="text1" w:themeTint="BF"/>
      <w:u w:val="single"/>
    </w:rPr>
  </w:style>
  <w:style w:type="paragraph" w:customStyle="1" w:styleId="DeskReviewNormal">
    <w:name w:val="DeskReviewNormal"/>
    <w:basedOn w:val="Normal"/>
    <w:rsid w:val="00AC6C57"/>
    <w:pPr>
      <w:spacing w:after="0" w:line="240" w:lineRule="auto"/>
    </w:pPr>
    <w:rPr>
      <w:rFonts w:ascii="Arial" w:hAnsi="Arial" w:cs="Arial"/>
      <w:color w:val="404040" w:themeColor="text1" w:themeTint="BF"/>
      <w:sz w:val="20"/>
      <w:szCs w:val="20"/>
    </w:rPr>
  </w:style>
  <w:style w:type="paragraph" w:customStyle="1" w:styleId="DeskReview2">
    <w:name w:val="DeskReview2"/>
    <w:basedOn w:val="ListParagraph"/>
    <w:qFormat/>
    <w:rsid w:val="0051516C"/>
    <w:pPr>
      <w:numPr>
        <w:numId w:val="4"/>
      </w:numPr>
      <w:tabs>
        <w:tab w:val="num" w:pos="720"/>
      </w:tabs>
      <w:spacing w:after="0" w:line="240" w:lineRule="auto"/>
    </w:pPr>
    <w:rPr>
      <w:rFonts w:ascii="Arial" w:eastAsia="MS Mincho" w:hAnsi="Arial" w:cs="Arial"/>
      <w:b/>
      <w:color w:val="404040"/>
      <w:sz w:val="24"/>
      <w:szCs w:val="24"/>
    </w:rPr>
  </w:style>
  <w:style w:type="paragraph" w:styleId="EndnoteText">
    <w:name w:val="endnote text"/>
    <w:basedOn w:val="Normal"/>
    <w:link w:val="EndnoteTextChar"/>
    <w:rsid w:val="00045280"/>
    <w:pPr>
      <w:spacing w:after="0" w:line="240" w:lineRule="auto"/>
    </w:pPr>
    <w:rPr>
      <w:sz w:val="20"/>
      <w:szCs w:val="20"/>
    </w:rPr>
  </w:style>
  <w:style w:type="character" w:customStyle="1" w:styleId="EndnoteTextChar">
    <w:name w:val="Endnote Text Char"/>
    <w:basedOn w:val="DefaultParagraphFont"/>
    <w:link w:val="EndnoteText"/>
    <w:rsid w:val="00045280"/>
    <w:rPr>
      <w:sz w:val="20"/>
      <w:szCs w:val="20"/>
    </w:rPr>
  </w:style>
  <w:style w:type="character" w:styleId="EndnoteReference">
    <w:name w:val="endnote reference"/>
    <w:basedOn w:val="DefaultParagraphFont"/>
    <w:rsid w:val="00045280"/>
    <w:rPr>
      <w:vertAlign w:val="superscript"/>
    </w:rPr>
  </w:style>
  <w:style w:type="paragraph" w:styleId="TOCHeading">
    <w:name w:val="TOC Heading"/>
    <w:basedOn w:val="Heading1"/>
    <w:next w:val="Normal"/>
    <w:uiPriority w:val="39"/>
    <w:semiHidden/>
    <w:unhideWhenUsed/>
    <w:qFormat/>
    <w:rsid w:val="00207046"/>
    <w:pPr>
      <w:outlineLvl w:val="9"/>
    </w:pPr>
  </w:style>
  <w:style w:type="character" w:customStyle="1" w:styleId="Heading2Char">
    <w:name w:val="Heading 2 Char"/>
    <w:basedOn w:val="DefaultParagraphFont"/>
    <w:link w:val="Heading2"/>
    <w:uiPriority w:val="9"/>
    <w:rsid w:val="0020704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0704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0704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0704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20704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0704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20704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207046"/>
    <w:pPr>
      <w:spacing w:line="240" w:lineRule="auto"/>
    </w:pPr>
    <w:rPr>
      <w:b/>
      <w:bCs/>
      <w:color w:val="4F81BD" w:themeColor="accent1"/>
      <w:sz w:val="18"/>
      <w:szCs w:val="18"/>
    </w:rPr>
  </w:style>
  <w:style w:type="paragraph" w:styleId="Title">
    <w:name w:val="Title"/>
    <w:basedOn w:val="Normal"/>
    <w:next w:val="Normal"/>
    <w:link w:val="TitleChar"/>
    <w:uiPriority w:val="10"/>
    <w:qFormat/>
    <w:rsid w:val="002070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704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070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0704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07046"/>
    <w:rPr>
      <w:b/>
      <w:bCs/>
    </w:rPr>
  </w:style>
  <w:style w:type="character" w:styleId="Emphasis">
    <w:name w:val="Emphasis"/>
    <w:basedOn w:val="DefaultParagraphFont"/>
    <w:uiPriority w:val="20"/>
    <w:qFormat/>
    <w:rsid w:val="00207046"/>
    <w:rPr>
      <w:i/>
      <w:iCs/>
    </w:rPr>
  </w:style>
  <w:style w:type="paragraph" w:styleId="NoSpacing">
    <w:name w:val="No Spacing"/>
    <w:uiPriority w:val="1"/>
    <w:qFormat/>
    <w:rsid w:val="00207046"/>
    <w:pPr>
      <w:spacing w:after="0" w:line="240" w:lineRule="auto"/>
    </w:pPr>
  </w:style>
  <w:style w:type="paragraph" w:styleId="Quote">
    <w:name w:val="Quote"/>
    <w:basedOn w:val="Normal"/>
    <w:next w:val="Normal"/>
    <w:link w:val="QuoteChar"/>
    <w:uiPriority w:val="29"/>
    <w:qFormat/>
    <w:rsid w:val="00207046"/>
    <w:rPr>
      <w:i/>
      <w:iCs/>
      <w:color w:val="000000" w:themeColor="text1"/>
    </w:rPr>
  </w:style>
  <w:style w:type="character" w:customStyle="1" w:styleId="QuoteChar">
    <w:name w:val="Quote Char"/>
    <w:basedOn w:val="DefaultParagraphFont"/>
    <w:link w:val="Quote"/>
    <w:uiPriority w:val="29"/>
    <w:rsid w:val="00207046"/>
    <w:rPr>
      <w:i/>
      <w:iCs/>
      <w:color w:val="000000" w:themeColor="text1"/>
    </w:rPr>
  </w:style>
  <w:style w:type="paragraph" w:styleId="IntenseQuote">
    <w:name w:val="Intense Quote"/>
    <w:basedOn w:val="Normal"/>
    <w:next w:val="Normal"/>
    <w:link w:val="IntenseQuoteChar"/>
    <w:uiPriority w:val="30"/>
    <w:qFormat/>
    <w:rsid w:val="0020704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07046"/>
    <w:rPr>
      <w:b/>
      <w:bCs/>
      <w:i/>
      <w:iCs/>
      <w:color w:val="4F81BD" w:themeColor="accent1"/>
    </w:rPr>
  </w:style>
  <w:style w:type="character" w:styleId="SubtleEmphasis">
    <w:name w:val="Subtle Emphasis"/>
    <w:basedOn w:val="DefaultParagraphFont"/>
    <w:uiPriority w:val="19"/>
    <w:qFormat/>
    <w:rsid w:val="00207046"/>
    <w:rPr>
      <w:i/>
      <w:iCs/>
      <w:color w:val="808080" w:themeColor="text1" w:themeTint="7F"/>
    </w:rPr>
  </w:style>
  <w:style w:type="character" w:styleId="IntenseEmphasis">
    <w:name w:val="Intense Emphasis"/>
    <w:basedOn w:val="DefaultParagraphFont"/>
    <w:uiPriority w:val="21"/>
    <w:qFormat/>
    <w:rsid w:val="00207046"/>
    <w:rPr>
      <w:b/>
      <w:bCs/>
      <w:i/>
      <w:iCs/>
      <w:color w:val="4F81BD" w:themeColor="accent1"/>
    </w:rPr>
  </w:style>
  <w:style w:type="character" w:styleId="SubtleReference">
    <w:name w:val="Subtle Reference"/>
    <w:basedOn w:val="DefaultParagraphFont"/>
    <w:uiPriority w:val="31"/>
    <w:qFormat/>
    <w:rsid w:val="00207046"/>
    <w:rPr>
      <w:smallCaps/>
      <w:color w:val="C0504D" w:themeColor="accent2"/>
      <w:u w:val="single"/>
    </w:rPr>
  </w:style>
  <w:style w:type="character" w:styleId="IntenseReference">
    <w:name w:val="Intense Reference"/>
    <w:basedOn w:val="DefaultParagraphFont"/>
    <w:uiPriority w:val="32"/>
    <w:qFormat/>
    <w:rsid w:val="00207046"/>
    <w:rPr>
      <w:b/>
      <w:bCs/>
      <w:smallCaps/>
      <w:color w:val="C0504D" w:themeColor="accent2"/>
      <w:spacing w:val="5"/>
      <w:u w:val="single"/>
    </w:rPr>
  </w:style>
  <w:style w:type="character" w:styleId="BookTitle">
    <w:name w:val="Book Title"/>
    <w:basedOn w:val="DefaultParagraphFont"/>
    <w:uiPriority w:val="33"/>
    <w:qFormat/>
    <w:rsid w:val="00207046"/>
    <w:rPr>
      <w:b/>
      <w:bCs/>
      <w:smallCaps/>
      <w:spacing w:val="5"/>
    </w:rPr>
  </w:style>
  <w:style w:type="paragraph" w:styleId="TOC1">
    <w:name w:val="toc 1"/>
    <w:basedOn w:val="Normal"/>
    <w:next w:val="Normal"/>
    <w:autoRedefine/>
    <w:uiPriority w:val="39"/>
    <w:rsid w:val="00207046"/>
    <w:pPr>
      <w:spacing w:after="100"/>
    </w:pPr>
  </w:style>
  <w:style w:type="paragraph" w:styleId="TOC2">
    <w:name w:val="toc 2"/>
    <w:basedOn w:val="Normal"/>
    <w:next w:val="Normal"/>
    <w:autoRedefine/>
    <w:uiPriority w:val="39"/>
    <w:rsid w:val="00294445"/>
    <w:pPr>
      <w:tabs>
        <w:tab w:val="left" w:pos="660"/>
        <w:tab w:val="right" w:leader="dot" w:pos="9016"/>
      </w:tabs>
      <w:spacing w:after="100"/>
      <w:ind w:left="220"/>
    </w:pPr>
    <w:rPr>
      <w:rFonts w:cstheme="majorBidi"/>
      <w:i/>
      <w:iCs/>
      <w:noProof/>
    </w:rPr>
  </w:style>
  <w:style w:type="paragraph" w:customStyle="1" w:styleId="Default">
    <w:name w:val="Default"/>
    <w:rsid w:val="002247F7"/>
    <w:pPr>
      <w:autoSpaceDE w:val="0"/>
      <w:autoSpaceDN w:val="0"/>
      <w:adjustRightInd w:val="0"/>
      <w:spacing w:after="0" w:line="240" w:lineRule="auto"/>
    </w:pPr>
    <w:rPr>
      <w:rFonts w:ascii="Arial" w:hAnsi="Arial" w:cs="Arial"/>
      <w:color w:val="000000"/>
      <w:sz w:val="24"/>
      <w:szCs w:val="24"/>
      <w:lang w:val="en-US"/>
    </w:rPr>
  </w:style>
  <w:style w:type="paragraph" w:styleId="Revision">
    <w:name w:val="Revision"/>
    <w:hidden/>
    <w:rsid w:val="004B5A57"/>
    <w:pPr>
      <w:spacing w:after="0" w:line="240" w:lineRule="auto"/>
    </w:pPr>
  </w:style>
  <w:style w:type="character" w:customStyle="1" w:styleId="A4">
    <w:name w:val="A4"/>
    <w:uiPriority w:val="99"/>
    <w:rsid w:val="004F5E7F"/>
    <w:rPr>
      <w:rFonts w:cs="Calibri"/>
      <w:color w:val="000000"/>
      <w:sz w:val="12"/>
      <w:szCs w:val="12"/>
    </w:rPr>
  </w:style>
  <w:style w:type="paragraph" w:styleId="TOC3">
    <w:name w:val="toc 3"/>
    <w:basedOn w:val="Normal"/>
    <w:next w:val="Normal"/>
    <w:autoRedefine/>
    <w:uiPriority w:val="39"/>
    <w:rsid w:val="00294445"/>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toc 1" w:uiPriority="39"/>
    <w:lsdException w:name="toc 2" w:uiPriority="39"/>
    <w:lsdException w:name="toc 3" w:uiPriority="39"/>
    <w:lsdException w:name="footnote text" w:uiPriority="99"/>
    <w:lsdException w:name="footnote reference" w:uiPriority="99"/>
    <w:lsdException w:name="Hyperlink" w:uiPriority="99"/>
    <w:lsdException w:name="Emphasis" w:uiPriority="20" w:qFormat="1"/>
    <w:lsdException w:name="Normal (Web)" w:uiPriority="99"/>
    <w:lsdException w:name="Table Grid" w:uiPriority="59"/>
    <w:lsdException w:name="List Paragraph" w:uiPriority="34" w:qFormat="1"/>
    <w:lsdException w:name="TOC Heading" w:uiPriority="39" w:qFormat="1"/>
  </w:latentStyles>
  <w:style w:type="paragraph" w:default="1" w:styleId="Normal">
    <w:name w:val="Normal"/>
    <w:qFormat/>
    <w:rsid w:val="00207046"/>
  </w:style>
  <w:style w:type="paragraph" w:styleId="Heading1">
    <w:name w:val="heading 1"/>
    <w:basedOn w:val="Normal"/>
    <w:next w:val="Normal"/>
    <w:link w:val="Heading1Char"/>
    <w:uiPriority w:val="9"/>
    <w:qFormat/>
    <w:rsid w:val="002070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70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70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0704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0704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0704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0704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0704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20704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54673D"/>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791B66"/>
    <w:rPr>
      <w:rFonts w:ascii="Lucida Grande" w:hAnsi="Lucida Grande"/>
      <w:sz w:val="18"/>
      <w:szCs w:val="18"/>
    </w:rPr>
  </w:style>
  <w:style w:type="paragraph" w:styleId="ListParagraph">
    <w:name w:val="List Paragraph"/>
    <w:basedOn w:val="Normal"/>
    <w:uiPriority w:val="34"/>
    <w:qFormat/>
    <w:rsid w:val="00207046"/>
    <w:pPr>
      <w:ind w:left="720"/>
      <w:contextualSpacing/>
    </w:pPr>
  </w:style>
  <w:style w:type="paragraph" w:styleId="Header">
    <w:name w:val="header"/>
    <w:basedOn w:val="Normal"/>
    <w:link w:val="HeaderChar"/>
    <w:uiPriority w:val="99"/>
    <w:unhideWhenUsed/>
    <w:rsid w:val="00546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73D"/>
  </w:style>
  <w:style w:type="paragraph" w:styleId="Footer">
    <w:name w:val="footer"/>
    <w:basedOn w:val="Normal"/>
    <w:link w:val="FooterChar"/>
    <w:uiPriority w:val="99"/>
    <w:unhideWhenUsed/>
    <w:rsid w:val="00546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73D"/>
  </w:style>
  <w:style w:type="character" w:customStyle="1" w:styleId="BalloonTextChar1">
    <w:name w:val="Balloon Text Char1"/>
    <w:basedOn w:val="DefaultParagraphFont"/>
    <w:link w:val="BalloonText"/>
    <w:uiPriority w:val="99"/>
    <w:semiHidden/>
    <w:rsid w:val="0054673D"/>
    <w:rPr>
      <w:rFonts w:ascii="Tahoma" w:hAnsi="Tahoma" w:cs="Tahoma"/>
      <w:sz w:val="16"/>
      <w:szCs w:val="16"/>
    </w:rPr>
  </w:style>
  <w:style w:type="character" w:customStyle="1" w:styleId="apple-converted-space">
    <w:name w:val="apple-converted-space"/>
    <w:basedOn w:val="DefaultParagraphFont"/>
    <w:rsid w:val="00366861"/>
  </w:style>
  <w:style w:type="paragraph" w:styleId="FootnoteText">
    <w:name w:val="footnote text"/>
    <w:basedOn w:val="Normal"/>
    <w:link w:val="FootnoteTextChar"/>
    <w:uiPriority w:val="99"/>
    <w:semiHidden/>
    <w:unhideWhenUsed/>
    <w:rsid w:val="00B24A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A66"/>
    <w:rPr>
      <w:sz w:val="20"/>
      <w:szCs w:val="20"/>
    </w:rPr>
  </w:style>
  <w:style w:type="character" w:styleId="FootnoteReference">
    <w:name w:val="footnote reference"/>
    <w:basedOn w:val="DefaultParagraphFont"/>
    <w:uiPriority w:val="99"/>
    <w:semiHidden/>
    <w:unhideWhenUsed/>
    <w:rsid w:val="00B24A66"/>
    <w:rPr>
      <w:vertAlign w:val="superscript"/>
    </w:rPr>
  </w:style>
  <w:style w:type="paragraph" w:styleId="NormalWeb">
    <w:name w:val="Normal (Web)"/>
    <w:basedOn w:val="Normal"/>
    <w:uiPriority w:val="99"/>
    <w:unhideWhenUsed/>
    <w:rsid w:val="00E6629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A79D9"/>
    <w:rPr>
      <w:color w:val="0000FF" w:themeColor="hyperlink"/>
      <w:u w:val="single"/>
    </w:rPr>
  </w:style>
  <w:style w:type="character" w:styleId="FollowedHyperlink">
    <w:name w:val="FollowedHyperlink"/>
    <w:basedOn w:val="DefaultParagraphFont"/>
    <w:rsid w:val="00393BC7"/>
    <w:rPr>
      <w:color w:val="800080" w:themeColor="followedHyperlink"/>
      <w:u w:val="single"/>
    </w:rPr>
  </w:style>
  <w:style w:type="character" w:customStyle="1" w:styleId="Heading1Char">
    <w:name w:val="Heading 1 Char"/>
    <w:basedOn w:val="DefaultParagraphFont"/>
    <w:link w:val="Heading1"/>
    <w:uiPriority w:val="9"/>
    <w:rsid w:val="00207046"/>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rsid w:val="00207046"/>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DD3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
    <w:name w:val="Colorful Grid"/>
    <w:basedOn w:val="TableNormal"/>
    <w:rsid w:val="00DD388A"/>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rsid w:val="000176E9"/>
    <w:rPr>
      <w:sz w:val="16"/>
      <w:szCs w:val="16"/>
    </w:rPr>
  </w:style>
  <w:style w:type="paragraph" w:styleId="CommentText">
    <w:name w:val="annotation text"/>
    <w:basedOn w:val="Normal"/>
    <w:link w:val="CommentTextChar"/>
    <w:rsid w:val="000176E9"/>
    <w:pPr>
      <w:spacing w:line="240" w:lineRule="auto"/>
    </w:pPr>
    <w:rPr>
      <w:sz w:val="20"/>
      <w:szCs w:val="20"/>
    </w:rPr>
  </w:style>
  <w:style w:type="character" w:customStyle="1" w:styleId="CommentTextChar">
    <w:name w:val="Comment Text Char"/>
    <w:basedOn w:val="DefaultParagraphFont"/>
    <w:link w:val="CommentText"/>
    <w:rsid w:val="000176E9"/>
    <w:rPr>
      <w:sz w:val="20"/>
      <w:szCs w:val="20"/>
    </w:rPr>
  </w:style>
  <w:style w:type="paragraph" w:styleId="CommentSubject">
    <w:name w:val="annotation subject"/>
    <w:basedOn w:val="CommentText"/>
    <w:next w:val="CommentText"/>
    <w:link w:val="CommentSubjectChar"/>
    <w:rsid w:val="000176E9"/>
    <w:rPr>
      <w:b/>
      <w:bCs/>
    </w:rPr>
  </w:style>
  <w:style w:type="character" w:customStyle="1" w:styleId="CommentSubjectChar">
    <w:name w:val="Comment Subject Char"/>
    <w:basedOn w:val="CommentTextChar"/>
    <w:link w:val="CommentSubject"/>
    <w:rsid w:val="000176E9"/>
    <w:rPr>
      <w:b/>
      <w:bCs/>
      <w:sz w:val="20"/>
      <w:szCs w:val="20"/>
    </w:rPr>
  </w:style>
  <w:style w:type="character" w:styleId="PageNumber">
    <w:name w:val="page number"/>
    <w:basedOn w:val="DefaultParagraphFont"/>
    <w:rsid w:val="001452BB"/>
  </w:style>
  <w:style w:type="paragraph" w:customStyle="1" w:styleId="DeskReview1">
    <w:name w:val="DeskReview1"/>
    <w:basedOn w:val="ListParagraph"/>
    <w:rsid w:val="00AC6C57"/>
    <w:pPr>
      <w:numPr>
        <w:numId w:val="3"/>
      </w:numPr>
      <w:spacing w:after="0" w:line="240" w:lineRule="auto"/>
    </w:pPr>
    <w:rPr>
      <w:rFonts w:ascii="Arial" w:hAnsi="Arial" w:cs="Arial"/>
      <w:b/>
      <w:color w:val="31849B" w:themeColor="accent5" w:themeShade="BF"/>
      <w:sz w:val="28"/>
      <w:szCs w:val="28"/>
    </w:rPr>
  </w:style>
  <w:style w:type="paragraph" w:customStyle="1" w:styleId="DeskReview3">
    <w:name w:val="DeskReview3"/>
    <w:basedOn w:val="Normal"/>
    <w:rsid w:val="00AC6C57"/>
    <w:pPr>
      <w:spacing w:after="0" w:line="240" w:lineRule="auto"/>
    </w:pPr>
    <w:rPr>
      <w:rFonts w:ascii="Arial" w:hAnsi="Arial" w:cs="Arial"/>
      <w:i/>
      <w:color w:val="404040" w:themeColor="text1" w:themeTint="BF"/>
      <w:u w:val="single"/>
    </w:rPr>
  </w:style>
  <w:style w:type="paragraph" w:customStyle="1" w:styleId="DeskReviewNormal">
    <w:name w:val="DeskReviewNormal"/>
    <w:basedOn w:val="Normal"/>
    <w:rsid w:val="00AC6C57"/>
    <w:pPr>
      <w:spacing w:after="0" w:line="240" w:lineRule="auto"/>
    </w:pPr>
    <w:rPr>
      <w:rFonts w:ascii="Arial" w:hAnsi="Arial" w:cs="Arial"/>
      <w:color w:val="404040" w:themeColor="text1" w:themeTint="BF"/>
      <w:sz w:val="20"/>
      <w:szCs w:val="20"/>
    </w:rPr>
  </w:style>
  <w:style w:type="paragraph" w:customStyle="1" w:styleId="DeskReview2">
    <w:name w:val="DeskReview2"/>
    <w:basedOn w:val="ListParagraph"/>
    <w:qFormat/>
    <w:rsid w:val="0051516C"/>
    <w:pPr>
      <w:numPr>
        <w:numId w:val="4"/>
      </w:numPr>
      <w:tabs>
        <w:tab w:val="num" w:pos="720"/>
      </w:tabs>
      <w:spacing w:after="0" w:line="240" w:lineRule="auto"/>
    </w:pPr>
    <w:rPr>
      <w:rFonts w:ascii="Arial" w:eastAsia="MS Mincho" w:hAnsi="Arial" w:cs="Arial"/>
      <w:b/>
      <w:color w:val="404040"/>
      <w:sz w:val="24"/>
      <w:szCs w:val="24"/>
    </w:rPr>
  </w:style>
  <w:style w:type="paragraph" w:styleId="EndnoteText">
    <w:name w:val="endnote text"/>
    <w:basedOn w:val="Normal"/>
    <w:link w:val="EndnoteTextChar"/>
    <w:rsid w:val="00045280"/>
    <w:pPr>
      <w:spacing w:after="0" w:line="240" w:lineRule="auto"/>
    </w:pPr>
    <w:rPr>
      <w:sz w:val="20"/>
      <w:szCs w:val="20"/>
    </w:rPr>
  </w:style>
  <w:style w:type="character" w:customStyle="1" w:styleId="EndnoteTextChar">
    <w:name w:val="Endnote Text Char"/>
    <w:basedOn w:val="DefaultParagraphFont"/>
    <w:link w:val="EndnoteText"/>
    <w:rsid w:val="00045280"/>
    <w:rPr>
      <w:sz w:val="20"/>
      <w:szCs w:val="20"/>
    </w:rPr>
  </w:style>
  <w:style w:type="character" w:styleId="EndnoteReference">
    <w:name w:val="endnote reference"/>
    <w:basedOn w:val="DefaultParagraphFont"/>
    <w:rsid w:val="00045280"/>
    <w:rPr>
      <w:vertAlign w:val="superscript"/>
    </w:rPr>
  </w:style>
  <w:style w:type="paragraph" w:styleId="TOCHeading">
    <w:name w:val="TOC Heading"/>
    <w:basedOn w:val="Heading1"/>
    <w:next w:val="Normal"/>
    <w:uiPriority w:val="39"/>
    <w:semiHidden/>
    <w:unhideWhenUsed/>
    <w:qFormat/>
    <w:rsid w:val="00207046"/>
    <w:pPr>
      <w:outlineLvl w:val="9"/>
    </w:pPr>
  </w:style>
  <w:style w:type="character" w:customStyle="1" w:styleId="Heading2Char">
    <w:name w:val="Heading 2 Char"/>
    <w:basedOn w:val="DefaultParagraphFont"/>
    <w:link w:val="Heading2"/>
    <w:uiPriority w:val="9"/>
    <w:rsid w:val="0020704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0704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0704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0704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20704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0704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20704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207046"/>
    <w:pPr>
      <w:spacing w:line="240" w:lineRule="auto"/>
    </w:pPr>
    <w:rPr>
      <w:b/>
      <w:bCs/>
      <w:color w:val="4F81BD" w:themeColor="accent1"/>
      <w:sz w:val="18"/>
      <w:szCs w:val="18"/>
    </w:rPr>
  </w:style>
  <w:style w:type="paragraph" w:styleId="Title">
    <w:name w:val="Title"/>
    <w:basedOn w:val="Normal"/>
    <w:next w:val="Normal"/>
    <w:link w:val="TitleChar"/>
    <w:uiPriority w:val="10"/>
    <w:qFormat/>
    <w:rsid w:val="002070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704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0704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0704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07046"/>
    <w:rPr>
      <w:b/>
      <w:bCs/>
    </w:rPr>
  </w:style>
  <w:style w:type="character" w:styleId="Emphasis">
    <w:name w:val="Emphasis"/>
    <w:basedOn w:val="DefaultParagraphFont"/>
    <w:uiPriority w:val="20"/>
    <w:qFormat/>
    <w:rsid w:val="00207046"/>
    <w:rPr>
      <w:i/>
      <w:iCs/>
    </w:rPr>
  </w:style>
  <w:style w:type="paragraph" w:styleId="NoSpacing">
    <w:name w:val="No Spacing"/>
    <w:uiPriority w:val="1"/>
    <w:qFormat/>
    <w:rsid w:val="00207046"/>
    <w:pPr>
      <w:spacing w:after="0" w:line="240" w:lineRule="auto"/>
    </w:pPr>
  </w:style>
  <w:style w:type="paragraph" w:styleId="Quote">
    <w:name w:val="Quote"/>
    <w:basedOn w:val="Normal"/>
    <w:next w:val="Normal"/>
    <w:link w:val="QuoteChar"/>
    <w:uiPriority w:val="29"/>
    <w:qFormat/>
    <w:rsid w:val="00207046"/>
    <w:rPr>
      <w:i/>
      <w:iCs/>
      <w:color w:val="000000" w:themeColor="text1"/>
    </w:rPr>
  </w:style>
  <w:style w:type="character" w:customStyle="1" w:styleId="QuoteChar">
    <w:name w:val="Quote Char"/>
    <w:basedOn w:val="DefaultParagraphFont"/>
    <w:link w:val="Quote"/>
    <w:uiPriority w:val="29"/>
    <w:rsid w:val="00207046"/>
    <w:rPr>
      <w:i/>
      <w:iCs/>
      <w:color w:val="000000" w:themeColor="text1"/>
    </w:rPr>
  </w:style>
  <w:style w:type="paragraph" w:styleId="IntenseQuote">
    <w:name w:val="Intense Quote"/>
    <w:basedOn w:val="Normal"/>
    <w:next w:val="Normal"/>
    <w:link w:val="IntenseQuoteChar"/>
    <w:uiPriority w:val="30"/>
    <w:qFormat/>
    <w:rsid w:val="0020704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07046"/>
    <w:rPr>
      <w:b/>
      <w:bCs/>
      <w:i/>
      <w:iCs/>
      <w:color w:val="4F81BD" w:themeColor="accent1"/>
    </w:rPr>
  </w:style>
  <w:style w:type="character" w:styleId="SubtleEmphasis">
    <w:name w:val="Subtle Emphasis"/>
    <w:basedOn w:val="DefaultParagraphFont"/>
    <w:uiPriority w:val="19"/>
    <w:qFormat/>
    <w:rsid w:val="00207046"/>
    <w:rPr>
      <w:i/>
      <w:iCs/>
      <w:color w:val="808080" w:themeColor="text1" w:themeTint="7F"/>
    </w:rPr>
  </w:style>
  <w:style w:type="character" w:styleId="IntenseEmphasis">
    <w:name w:val="Intense Emphasis"/>
    <w:basedOn w:val="DefaultParagraphFont"/>
    <w:uiPriority w:val="21"/>
    <w:qFormat/>
    <w:rsid w:val="00207046"/>
    <w:rPr>
      <w:b/>
      <w:bCs/>
      <w:i/>
      <w:iCs/>
      <w:color w:val="4F81BD" w:themeColor="accent1"/>
    </w:rPr>
  </w:style>
  <w:style w:type="character" w:styleId="SubtleReference">
    <w:name w:val="Subtle Reference"/>
    <w:basedOn w:val="DefaultParagraphFont"/>
    <w:uiPriority w:val="31"/>
    <w:qFormat/>
    <w:rsid w:val="00207046"/>
    <w:rPr>
      <w:smallCaps/>
      <w:color w:val="C0504D" w:themeColor="accent2"/>
      <w:u w:val="single"/>
    </w:rPr>
  </w:style>
  <w:style w:type="character" w:styleId="IntenseReference">
    <w:name w:val="Intense Reference"/>
    <w:basedOn w:val="DefaultParagraphFont"/>
    <w:uiPriority w:val="32"/>
    <w:qFormat/>
    <w:rsid w:val="00207046"/>
    <w:rPr>
      <w:b/>
      <w:bCs/>
      <w:smallCaps/>
      <w:color w:val="C0504D" w:themeColor="accent2"/>
      <w:spacing w:val="5"/>
      <w:u w:val="single"/>
    </w:rPr>
  </w:style>
  <w:style w:type="character" w:styleId="BookTitle">
    <w:name w:val="Book Title"/>
    <w:basedOn w:val="DefaultParagraphFont"/>
    <w:uiPriority w:val="33"/>
    <w:qFormat/>
    <w:rsid w:val="00207046"/>
    <w:rPr>
      <w:b/>
      <w:bCs/>
      <w:smallCaps/>
      <w:spacing w:val="5"/>
    </w:rPr>
  </w:style>
  <w:style w:type="paragraph" w:styleId="TOC1">
    <w:name w:val="toc 1"/>
    <w:basedOn w:val="Normal"/>
    <w:next w:val="Normal"/>
    <w:autoRedefine/>
    <w:uiPriority w:val="39"/>
    <w:rsid w:val="00207046"/>
    <w:pPr>
      <w:spacing w:after="100"/>
    </w:pPr>
  </w:style>
  <w:style w:type="paragraph" w:styleId="TOC2">
    <w:name w:val="toc 2"/>
    <w:basedOn w:val="Normal"/>
    <w:next w:val="Normal"/>
    <w:autoRedefine/>
    <w:uiPriority w:val="39"/>
    <w:rsid w:val="00294445"/>
    <w:pPr>
      <w:tabs>
        <w:tab w:val="left" w:pos="660"/>
        <w:tab w:val="right" w:leader="dot" w:pos="9016"/>
      </w:tabs>
      <w:spacing w:after="100"/>
      <w:ind w:left="220"/>
    </w:pPr>
    <w:rPr>
      <w:rFonts w:cstheme="majorBidi"/>
      <w:i/>
      <w:iCs/>
      <w:noProof/>
    </w:rPr>
  </w:style>
  <w:style w:type="paragraph" w:customStyle="1" w:styleId="Default">
    <w:name w:val="Default"/>
    <w:rsid w:val="002247F7"/>
    <w:pPr>
      <w:autoSpaceDE w:val="0"/>
      <w:autoSpaceDN w:val="0"/>
      <w:adjustRightInd w:val="0"/>
      <w:spacing w:after="0" w:line="240" w:lineRule="auto"/>
    </w:pPr>
    <w:rPr>
      <w:rFonts w:ascii="Arial" w:hAnsi="Arial" w:cs="Arial"/>
      <w:color w:val="000000"/>
      <w:sz w:val="24"/>
      <w:szCs w:val="24"/>
      <w:lang w:val="en-US"/>
    </w:rPr>
  </w:style>
  <w:style w:type="paragraph" w:styleId="Revision">
    <w:name w:val="Revision"/>
    <w:hidden/>
    <w:rsid w:val="004B5A57"/>
    <w:pPr>
      <w:spacing w:after="0" w:line="240" w:lineRule="auto"/>
    </w:pPr>
  </w:style>
  <w:style w:type="character" w:customStyle="1" w:styleId="A4">
    <w:name w:val="A4"/>
    <w:uiPriority w:val="99"/>
    <w:rsid w:val="004F5E7F"/>
    <w:rPr>
      <w:rFonts w:cs="Calibri"/>
      <w:color w:val="000000"/>
      <w:sz w:val="12"/>
      <w:szCs w:val="12"/>
    </w:rPr>
  </w:style>
  <w:style w:type="paragraph" w:styleId="TOC3">
    <w:name w:val="toc 3"/>
    <w:basedOn w:val="Normal"/>
    <w:next w:val="Normal"/>
    <w:autoRedefine/>
    <w:uiPriority w:val="39"/>
    <w:rsid w:val="0029444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5647">
      <w:bodyDiv w:val="1"/>
      <w:marLeft w:val="0"/>
      <w:marRight w:val="0"/>
      <w:marTop w:val="0"/>
      <w:marBottom w:val="0"/>
      <w:divBdr>
        <w:top w:val="none" w:sz="0" w:space="0" w:color="auto"/>
        <w:left w:val="none" w:sz="0" w:space="0" w:color="auto"/>
        <w:bottom w:val="none" w:sz="0" w:space="0" w:color="auto"/>
        <w:right w:val="none" w:sz="0" w:space="0" w:color="auto"/>
      </w:divBdr>
    </w:div>
    <w:div w:id="77411453">
      <w:bodyDiv w:val="1"/>
      <w:marLeft w:val="0"/>
      <w:marRight w:val="0"/>
      <w:marTop w:val="0"/>
      <w:marBottom w:val="0"/>
      <w:divBdr>
        <w:top w:val="none" w:sz="0" w:space="0" w:color="auto"/>
        <w:left w:val="none" w:sz="0" w:space="0" w:color="auto"/>
        <w:bottom w:val="none" w:sz="0" w:space="0" w:color="auto"/>
        <w:right w:val="none" w:sz="0" w:space="0" w:color="auto"/>
      </w:divBdr>
    </w:div>
    <w:div w:id="345139482">
      <w:bodyDiv w:val="1"/>
      <w:marLeft w:val="0"/>
      <w:marRight w:val="0"/>
      <w:marTop w:val="0"/>
      <w:marBottom w:val="0"/>
      <w:divBdr>
        <w:top w:val="none" w:sz="0" w:space="0" w:color="auto"/>
        <w:left w:val="none" w:sz="0" w:space="0" w:color="auto"/>
        <w:bottom w:val="none" w:sz="0" w:space="0" w:color="auto"/>
        <w:right w:val="none" w:sz="0" w:space="0" w:color="auto"/>
      </w:divBdr>
    </w:div>
    <w:div w:id="381485180">
      <w:bodyDiv w:val="1"/>
      <w:marLeft w:val="0"/>
      <w:marRight w:val="0"/>
      <w:marTop w:val="0"/>
      <w:marBottom w:val="0"/>
      <w:divBdr>
        <w:top w:val="none" w:sz="0" w:space="0" w:color="auto"/>
        <w:left w:val="none" w:sz="0" w:space="0" w:color="auto"/>
        <w:bottom w:val="none" w:sz="0" w:space="0" w:color="auto"/>
        <w:right w:val="none" w:sz="0" w:space="0" w:color="auto"/>
      </w:divBdr>
      <w:divsChild>
        <w:div w:id="2067333297">
          <w:marLeft w:val="0"/>
          <w:marRight w:val="0"/>
          <w:marTop w:val="0"/>
          <w:marBottom w:val="0"/>
          <w:divBdr>
            <w:top w:val="none" w:sz="0" w:space="0" w:color="auto"/>
            <w:left w:val="none" w:sz="0" w:space="0" w:color="auto"/>
            <w:bottom w:val="none" w:sz="0" w:space="0" w:color="auto"/>
            <w:right w:val="none" w:sz="0" w:space="0" w:color="auto"/>
          </w:divBdr>
        </w:div>
        <w:div w:id="534002809">
          <w:marLeft w:val="0"/>
          <w:marRight w:val="0"/>
          <w:marTop w:val="0"/>
          <w:marBottom w:val="0"/>
          <w:divBdr>
            <w:top w:val="none" w:sz="0" w:space="0" w:color="auto"/>
            <w:left w:val="none" w:sz="0" w:space="0" w:color="auto"/>
            <w:bottom w:val="none" w:sz="0" w:space="0" w:color="auto"/>
            <w:right w:val="none" w:sz="0" w:space="0" w:color="auto"/>
          </w:divBdr>
        </w:div>
      </w:divsChild>
    </w:div>
    <w:div w:id="575432353">
      <w:bodyDiv w:val="1"/>
      <w:marLeft w:val="0"/>
      <w:marRight w:val="0"/>
      <w:marTop w:val="0"/>
      <w:marBottom w:val="0"/>
      <w:divBdr>
        <w:top w:val="none" w:sz="0" w:space="0" w:color="auto"/>
        <w:left w:val="none" w:sz="0" w:space="0" w:color="auto"/>
        <w:bottom w:val="none" w:sz="0" w:space="0" w:color="auto"/>
        <w:right w:val="none" w:sz="0" w:space="0" w:color="auto"/>
      </w:divBdr>
    </w:div>
    <w:div w:id="681665524">
      <w:bodyDiv w:val="1"/>
      <w:marLeft w:val="0"/>
      <w:marRight w:val="0"/>
      <w:marTop w:val="0"/>
      <w:marBottom w:val="0"/>
      <w:divBdr>
        <w:top w:val="none" w:sz="0" w:space="0" w:color="auto"/>
        <w:left w:val="none" w:sz="0" w:space="0" w:color="auto"/>
        <w:bottom w:val="none" w:sz="0" w:space="0" w:color="auto"/>
        <w:right w:val="none" w:sz="0" w:space="0" w:color="auto"/>
      </w:divBdr>
    </w:div>
    <w:div w:id="961158346">
      <w:bodyDiv w:val="1"/>
      <w:marLeft w:val="0"/>
      <w:marRight w:val="0"/>
      <w:marTop w:val="0"/>
      <w:marBottom w:val="0"/>
      <w:divBdr>
        <w:top w:val="none" w:sz="0" w:space="0" w:color="auto"/>
        <w:left w:val="none" w:sz="0" w:space="0" w:color="auto"/>
        <w:bottom w:val="none" w:sz="0" w:space="0" w:color="auto"/>
        <w:right w:val="none" w:sz="0" w:space="0" w:color="auto"/>
      </w:divBdr>
    </w:div>
    <w:div w:id="1158380569">
      <w:bodyDiv w:val="1"/>
      <w:marLeft w:val="0"/>
      <w:marRight w:val="0"/>
      <w:marTop w:val="0"/>
      <w:marBottom w:val="0"/>
      <w:divBdr>
        <w:top w:val="none" w:sz="0" w:space="0" w:color="auto"/>
        <w:left w:val="none" w:sz="0" w:space="0" w:color="auto"/>
        <w:bottom w:val="none" w:sz="0" w:space="0" w:color="auto"/>
        <w:right w:val="none" w:sz="0" w:space="0" w:color="auto"/>
      </w:divBdr>
    </w:div>
    <w:div w:id="1204829380">
      <w:bodyDiv w:val="1"/>
      <w:marLeft w:val="0"/>
      <w:marRight w:val="0"/>
      <w:marTop w:val="0"/>
      <w:marBottom w:val="0"/>
      <w:divBdr>
        <w:top w:val="none" w:sz="0" w:space="0" w:color="auto"/>
        <w:left w:val="none" w:sz="0" w:space="0" w:color="auto"/>
        <w:bottom w:val="none" w:sz="0" w:space="0" w:color="auto"/>
        <w:right w:val="none" w:sz="0" w:space="0" w:color="auto"/>
      </w:divBdr>
    </w:div>
    <w:div w:id="1316959456">
      <w:bodyDiv w:val="1"/>
      <w:marLeft w:val="0"/>
      <w:marRight w:val="0"/>
      <w:marTop w:val="0"/>
      <w:marBottom w:val="0"/>
      <w:divBdr>
        <w:top w:val="none" w:sz="0" w:space="0" w:color="auto"/>
        <w:left w:val="none" w:sz="0" w:space="0" w:color="auto"/>
        <w:bottom w:val="none" w:sz="0" w:space="0" w:color="auto"/>
        <w:right w:val="none" w:sz="0" w:space="0" w:color="auto"/>
      </w:divBdr>
    </w:div>
    <w:div w:id="1799834990">
      <w:bodyDiv w:val="1"/>
      <w:marLeft w:val="0"/>
      <w:marRight w:val="0"/>
      <w:marTop w:val="0"/>
      <w:marBottom w:val="0"/>
      <w:divBdr>
        <w:top w:val="none" w:sz="0" w:space="0" w:color="auto"/>
        <w:left w:val="none" w:sz="0" w:space="0" w:color="auto"/>
        <w:bottom w:val="none" w:sz="0" w:space="0" w:color="auto"/>
        <w:right w:val="none" w:sz="0" w:space="0" w:color="auto"/>
      </w:divBdr>
    </w:div>
    <w:div w:id="1858536734">
      <w:bodyDiv w:val="1"/>
      <w:marLeft w:val="0"/>
      <w:marRight w:val="0"/>
      <w:marTop w:val="0"/>
      <w:marBottom w:val="0"/>
      <w:divBdr>
        <w:top w:val="none" w:sz="0" w:space="0" w:color="auto"/>
        <w:left w:val="none" w:sz="0" w:space="0" w:color="auto"/>
        <w:bottom w:val="none" w:sz="0" w:space="0" w:color="auto"/>
        <w:right w:val="none" w:sz="0" w:space="0" w:color="auto"/>
      </w:divBdr>
      <w:divsChild>
        <w:div w:id="2102526672">
          <w:marLeft w:val="0"/>
          <w:marRight w:val="0"/>
          <w:marTop w:val="0"/>
          <w:marBottom w:val="0"/>
          <w:divBdr>
            <w:top w:val="none" w:sz="0" w:space="0" w:color="auto"/>
            <w:left w:val="none" w:sz="0" w:space="0" w:color="auto"/>
            <w:bottom w:val="none" w:sz="0" w:space="0" w:color="auto"/>
            <w:right w:val="none" w:sz="0" w:space="0" w:color="auto"/>
          </w:divBdr>
          <w:divsChild>
            <w:div w:id="503984054">
              <w:marLeft w:val="0"/>
              <w:marRight w:val="0"/>
              <w:marTop w:val="0"/>
              <w:marBottom w:val="0"/>
              <w:divBdr>
                <w:top w:val="none" w:sz="0" w:space="0" w:color="auto"/>
                <w:left w:val="none" w:sz="0" w:space="0" w:color="auto"/>
                <w:bottom w:val="none" w:sz="0" w:space="0" w:color="auto"/>
                <w:right w:val="none" w:sz="0" w:space="0" w:color="auto"/>
              </w:divBdr>
              <w:divsChild>
                <w:div w:id="10423721">
                  <w:marLeft w:val="0"/>
                  <w:marRight w:val="0"/>
                  <w:marTop w:val="0"/>
                  <w:marBottom w:val="0"/>
                  <w:divBdr>
                    <w:top w:val="none" w:sz="0" w:space="0" w:color="auto"/>
                    <w:left w:val="none" w:sz="0" w:space="0" w:color="auto"/>
                    <w:bottom w:val="none" w:sz="0" w:space="0" w:color="auto"/>
                    <w:right w:val="none" w:sz="0" w:space="0" w:color="auto"/>
                  </w:divBdr>
                  <w:divsChild>
                    <w:div w:id="172037355">
                      <w:marLeft w:val="0"/>
                      <w:marRight w:val="0"/>
                      <w:marTop w:val="0"/>
                      <w:marBottom w:val="0"/>
                      <w:divBdr>
                        <w:top w:val="none" w:sz="0" w:space="0" w:color="auto"/>
                        <w:left w:val="none" w:sz="0" w:space="0" w:color="auto"/>
                        <w:bottom w:val="none" w:sz="0" w:space="0" w:color="auto"/>
                        <w:right w:val="none" w:sz="0" w:space="0" w:color="auto"/>
                      </w:divBdr>
                      <w:divsChild>
                        <w:div w:id="602300790">
                          <w:marLeft w:val="0"/>
                          <w:marRight w:val="0"/>
                          <w:marTop w:val="0"/>
                          <w:marBottom w:val="0"/>
                          <w:divBdr>
                            <w:top w:val="none" w:sz="0" w:space="0" w:color="auto"/>
                            <w:left w:val="none" w:sz="0" w:space="0" w:color="auto"/>
                            <w:bottom w:val="none" w:sz="0" w:space="0" w:color="auto"/>
                            <w:right w:val="none" w:sz="0" w:space="0" w:color="auto"/>
                          </w:divBdr>
                          <w:divsChild>
                            <w:div w:id="1837645646">
                              <w:marLeft w:val="0"/>
                              <w:marRight w:val="0"/>
                              <w:marTop w:val="0"/>
                              <w:marBottom w:val="0"/>
                              <w:divBdr>
                                <w:top w:val="none" w:sz="0" w:space="0" w:color="auto"/>
                                <w:left w:val="none" w:sz="0" w:space="0" w:color="auto"/>
                                <w:bottom w:val="none" w:sz="0" w:space="0" w:color="auto"/>
                                <w:right w:val="none" w:sz="0" w:space="0" w:color="auto"/>
                              </w:divBdr>
                              <w:divsChild>
                                <w:div w:id="2097747092">
                                  <w:marLeft w:val="0"/>
                                  <w:marRight w:val="0"/>
                                  <w:marTop w:val="0"/>
                                  <w:marBottom w:val="0"/>
                                  <w:divBdr>
                                    <w:top w:val="none" w:sz="0" w:space="0" w:color="auto"/>
                                    <w:left w:val="none" w:sz="0" w:space="0" w:color="auto"/>
                                    <w:bottom w:val="none" w:sz="0" w:space="0" w:color="auto"/>
                                    <w:right w:val="none" w:sz="0" w:space="0" w:color="auto"/>
                                  </w:divBdr>
                                  <w:divsChild>
                                    <w:div w:id="657148720">
                                      <w:marLeft w:val="0"/>
                                      <w:marRight w:val="0"/>
                                      <w:marTop w:val="0"/>
                                      <w:marBottom w:val="0"/>
                                      <w:divBdr>
                                        <w:top w:val="none" w:sz="0" w:space="0" w:color="auto"/>
                                        <w:left w:val="none" w:sz="0" w:space="0" w:color="auto"/>
                                        <w:bottom w:val="none" w:sz="0" w:space="0" w:color="auto"/>
                                        <w:right w:val="none" w:sz="0" w:space="0" w:color="auto"/>
                                      </w:divBdr>
                                      <w:divsChild>
                                        <w:div w:id="134278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amnesty.org.uk/uploads/documents/doc_21783.pdf" TargetMode="External"/><Relationship Id="rId2" Type="http://schemas.openxmlformats.org/officeDocument/2006/relationships/hyperlink" Target="http://www.hrw.org/news/2012/06/11/syria-stop-grave-abuses-children" TargetMode="External"/><Relationship Id="rId1" Type="http://schemas.openxmlformats.org/officeDocument/2006/relationships/hyperlink" Target="http://www.hrw.org/news/2013/03/16/syria-mounting-casualties-cluster-munitions" TargetMode="External"/><Relationship Id="rId4" Type="http://schemas.openxmlformats.org/officeDocument/2006/relationships/hyperlink" Target="http://www.hrw.org/fr/node/1080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C4B93-56BD-4810-B015-3793195D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8304</Words>
  <Characters>47336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55529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 Dembele</dc:creator>
  <cp:lastModifiedBy>Hani Mansourian</cp:lastModifiedBy>
  <cp:revision>3</cp:revision>
  <cp:lastPrinted>2013-06-11T15:34:00Z</cp:lastPrinted>
  <dcterms:created xsi:type="dcterms:W3CDTF">2013-10-21T14:36:00Z</dcterms:created>
  <dcterms:modified xsi:type="dcterms:W3CDTF">2013-12-02T15:55:00Z</dcterms:modified>
</cp:coreProperties>
</file>