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9EE24" w14:textId="1548577F" w:rsidR="0051778D" w:rsidRDefault="00CB6CF0">
      <w:pPr>
        <w:widowControl w:val="0"/>
        <w:spacing w:after="0" w:line="276" w:lineRule="auto"/>
        <w:rPr>
          <w:rFonts w:ascii="Arial" w:eastAsia="Arial" w:hAnsi="Arial" w:cs="Arial"/>
        </w:rPr>
      </w:pPr>
      <w:bookmarkStart w:id="0" w:name="_GoBack"/>
      <w:bookmarkEnd w:id="0"/>
      <w:r>
        <w:rPr>
          <w:noProof/>
          <w:lang w:val="en-US" w:eastAsia="zh-CN"/>
        </w:rPr>
        <w:drawing>
          <wp:anchor distT="0" distB="0" distL="114300" distR="114300" simplePos="0" relativeHeight="251659264" behindDoc="0" locked="0" layoutInCell="1" allowOverlap="1" wp14:anchorId="22B6361B" wp14:editId="13515079">
            <wp:simplePos x="0" y="0"/>
            <wp:positionH relativeFrom="margin">
              <wp:align>right</wp:align>
            </wp:positionH>
            <wp:positionV relativeFrom="margin">
              <wp:posOffset>-514350</wp:posOffset>
            </wp:positionV>
            <wp:extent cx="767080" cy="79629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lleenf\Documents\Global CP Coordination\Alliance for CP in Humanitarian Action\LOGO_Alliance_FINAL_with text2_blue.p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67258" cy="796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642B">
        <w:rPr>
          <w:rStyle w:val="EndnoteReference"/>
          <w:rFonts w:ascii="Arial" w:eastAsia="Arial" w:hAnsi="Arial" w:cs="Arial"/>
        </w:rPr>
        <w:endnoteReference w:id="1"/>
      </w:r>
    </w:p>
    <w:p w14:paraId="27F90625" w14:textId="3EDF3327" w:rsidR="00D93B86" w:rsidRDefault="00D93B86">
      <w:pPr>
        <w:widowControl w:val="0"/>
        <w:spacing w:after="0" w:line="276" w:lineRule="auto"/>
        <w:rPr>
          <w:rFonts w:ascii="Arial" w:eastAsia="Arial" w:hAnsi="Arial" w:cs="Arial"/>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000" w:firstRow="0" w:lastRow="0" w:firstColumn="0" w:lastColumn="0" w:noHBand="0" w:noVBand="0"/>
      </w:tblPr>
      <w:tblGrid>
        <w:gridCol w:w="9350"/>
      </w:tblGrid>
      <w:tr w:rsidR="00D93B86" w14:paraId="73887A31" w14:textId="77777777" w:rsidTr="0051778D">
        <w:tc>
          <w:tcPr>
            <w:tcW w:w="9350" w:type="dxa"/>
            <w:shd w:val="clear" w:color="auto" w:fill="D9D9D9" w:themeFill="background1" w:themeFillShade="D9"/>
          </w:tcPr>
          <w:p w14:paraId="176D85B9" w14:textId="77777777" w:rsidR="00D93B86" w:rsidRDefault="00945B16">
            <w:pPr>
              <w:spacing w:after="0" w:line="240" w:lineRule="auto"/>
              <w:jc w:val="center"/>
            </w:pPr>
            <w:r>
              <w:rPr>
                <w:b/>
              </w:rPr>
              <w:t>Outil Check-list des dossiers</w:t>
            </w:r>
          </w:p>
          <w:p w14:paraId="5FAFBA3C" w14:textId="77777777" w:rsidR="00D93B86" w:rsidRDefault="00D93B86">
            <w:pPr>
              <w:spacing w:after="0" w:line="240" w:lineRule="auto"/>
              <w:jc w:val="center"/>
            </w:pPr>
          </w:p>
        </w:tc>
      </w:tr>
    </w:tbl>
    <w:p w14:paraId="74533EC3" w14:textId="77777777" w:rsidR="00D93B86" w:rsidRDefault="00D93B86"/>
    <w:p w14:paraId="389BC077" w14:textId="3188E150" w:rsidR="00D93B86" w:rsidRPr="00282C35" w:rsidRDefault="00945B16" w:rsidP="00CB6CF0">
      <w:pPr>
        <w:rPr>
          <w:color w:val="auto"/>
        </w:rPr>
      </w:pPr>
      <w:r>
        <w:rPr>
          <w:b/>
          <w:color w:val="auto"/>
        </w:rPr>
        <w:t>Définition :</w:t>
      </w:r>
      <w:r w:rsidR="00E37774">
        <w:rPr>
          <w:color w:val="auto"/>
        </w:rPr>
        <w:t xml:space="preserve"> </w:t>
      </w:r>
      <w:r>
        <w:rPr>
          <w:color w:val="auto"/>
        </w:rPr>
        <w:t xml:space="preserve">L’examen des dossiers est une pratique de supervision </w:t>
      </w:r>
      <w:r>
        <w:t xml:space="preserve">servant à évaluer l’application des compétences en gestion de cas d’un travailleur social et également </w:t>
      </w:r>
      <w:r>
        <w:rPr>
          <w:color w:val="auto"/>
        </w:rPr>
        <w:t xml:space="preserve">l’enregistrement des informations. Au cours d’un examen de dossier, le superviseur vérifie que le cas est géré correctement et que la documentation est exacte et complète à chaque étape du traitement. C’est aussi l’occasion pour un superviseur d’identifier les domaines de développement et de soutien qui pourraient s’avérer bénéfiques pour le travailleur social. </w:t>
      </w:r>
    </w:p>
    <w:p w14:paraId="7E65E624" w14:textId="2FF4A7C2" w:rsidR="00282C35" w:rsidRDefault="02365596">
      <w:r>
        <w:rPr>
          <w:b/>
          <w:bCs/>
        </w:rPr>
        <w:t xml:space="preserve">Objectif de l’outil : </w:t>
      </w:r>
      <w:r>
        <w:t xml:space="preserve">L’outil Check-list des dossiers doit servir de guide aux superviseurs lorsqu’ils examinent un cas de protection de l’enfant. Cet outil fait partie de l’encadrement régulier et le retour doit être donné lors de sessions individuelles de supervision. </w:t>
      </w:r>
    </w:p>
    <w:p w14:paraId="339D472D" w14:textId="6F9241DB" w:rsidR="00D93B86" w:rsidRPr="009E58BF" w:rsidRDefault="00945B16">
      <w:pPr>
        <w:rPr>
          <w:color w:val="auto"/>
        </w:rPr>
      </w:pPr>
      <w:r>
        <w:rPr>
          <w:b/>
          <w:color w:val="auto"/>
        </w:rPr>
        <w:t xml:space="preserve">Fréquence : </w:t>
      </w:r>
      <w:r>
        <w:rPr>
          <w:color w:val="auto"/>
        </w:rPr>
        <w:t xml:space="preserve">Un superviseur doit examiner chaque mois 3 à 5 dossiers de chaque travailleur social. </w:t>
      </w:r>
    </w:p>
    <w:p w14:paraId="33C05673" w14:textId="6D73F0C3" w:rsidR="00D93B86" w:rsidRDefault="00945B16">
      <w:pPr>
        <w:rPr>
          <w:color w:val="FF0000"/>
        </w:rPr>
      </w:pPr>
      <w:r>
        <w:rPr>
          <w:b/>
          <w:color w:val="auto"/>
        </w:rPr>
        <w:t xml:space="preserve">Orientation : </w:t>
      </w:r>
      <w:r>
        <w:rPr>
          <w:color w:val="auto"/>
        </w:rPr>
        <w:t xml:space="preserve">Cet outil peut être utilisé pour l’examen des dossiers à toutes les étapes du processus de gestion de cas. On suggère que le superviseur sélectionne certains cas (ouverts ou clôturés) au hasard en vue de leur examen. Le superviseur doit examiner les cas de façon indépendante, donner son retour au travailleur social lors d’une session de supervision individuelle, puis suivre l’avancement. </w:t>
      </w:r>
    </w:p>
    <w:p w14:paraId="74C15018" w14:textId="6A6D082D" w:rsidR="00D93B86" w:rsidRDefault="00945B16">
      <w:pPr>
        <w:rPr>
          <w:color w:val="auto"/>
        </w:rPr>
      </w:pPr>
      <w:r>
        <w:rPr>
          <w:color w:val="auto"/>
        </w:rPr>
        <w:t xml:space="preserve">Si les erreurs de tenue des dossiers et les malentendus sont fréquents au sein de l’équipe, ces problèmes peuvent être abordés lors des réunions de supervision de groupe, à titre de tendances observées. </w:t>
      </w:r>
    </w:p>
    <w:p w14:paraId="3779CB07" w14:textId="77777777" w:rsidR="009E58BF" w:rsidRDefault="009E58BF">
      <w:pPr>
        <w:rPr>
          <w:color w:val="auto"/>
        </w:rPr>
      </w:pPr>
    </w:p>
    <w:p w14:paraId="27482783" w14:textId="77777777" w:rsidR="00184011" w:rsidRDefault="00184011">
      <w:pPr>
        <w:rPr>
          <w:color w:val="auto"/>
        </w:rPr>
      </w:pPr>
    </w:p>
    <w:p w14:paraId="1620A1C9" w14:textId="77777777" w:rsidR="00184011" w:rsidRDefault="00184011">
      <w:pPr>
        <w:rPr>
          <w:color w:val="auto"/>
        </w:rPr>
      </w:pPr>
    </w:p>
    <w:p w14:paraId="7CEB63A6" w14:textId="77777777" w:rsidR="00184011" w:rsidRDefault="00184011">
      <w:pPr>
        <w:rPr>
          <w:color w:val="auto"/>
        </w:rPr>
      </w:pPr>
    </w:p>
    <w:p w14:paraId="6D5ACA04" w14:textId="77777777" w:rsidR="00184011" w:rsidRDefault="00184011">
      <w:pPr>
        <w:rPr>
          <w:color w:val="auto"/>
        </w:rPr>
      </w:pPr>
    </w:p>
    <w:p w14:paraId="4F04FF40" w14:textId="77777777" w:rsidR="00184011" w:rsidRDefault="00184011">
      <w:pPr>
        <w:rPr>
          <w:color w:val="auto"/>
        </w:rPr>
      </w:pPr>
    </w:p>
    <w:p w14:paraId="0DC12793" w14:textId="77777777" w:rsidR="00184011" w:rsidRDefault="00184011">
      <w:pPr>
        <w:rPr>
          <w:color w:val="auto"/>
        </w:rPr>
      </w:pPr>
    </w:p>
    <w:p w14:paraId="6F1B0CC4" w14:textId="77777777" w:rsidR="00184011" w:rsidRDefault="00184011">
      <w:pPr>
        <w:rPr>
          <w:color w:val="auto"/>
        </w:rPr>
      </w:pPr>
    </w:p>
    <w:p w14:paraId="7BC5B269" w14:textId="77777777" w:rsidR="00184011" w:rsidRDefault="00184011">
      <w:pPr>
        <w:rPr>
          <w:color w:val="auto"/>
        </w:rPr>
      </w:pPr>
    </w:p>
    <w:p w14:paraId="74AED60F" w14:textId="77777777" w:rsidR="00184011" w:rsidRDefault="00184011">
      <w:pPr>
        <w:rPr>
          <w:color w:val="auto"/>
        </w:rPr>
      </w:pPr>
    </w:p>
    <w:p w14:paraId="7256EC6A" w14:textId="77777777" w:rsidR="00184011" w:rsidRDefault="00184011">
      <w:pPr>
        <w:rPr>
          <w:color w:val="auto"/>
        </w:rPr>
      </w:pPr>
    </w:p>
    <w:p w14:paraId="58A7C92E" w14:textId="77777777" w:rsidR="0010727F" w:rsidRDefault="0010727F">
      <w:pPr>
        <w:rPr>
          <w:color w:val="auto"/>
        </w:rPr>
      </w:pPr>
    </w:p>
    <w:tbl>
      <w:tblPr>
        <w:tblStyle w:val="TableGrid"/>
        <w:tblpPr w:leftFromText="180" w:rightFromText="180" w:vertAnchor="text" w:horzAnchor="margin" w:tblpXSpec="right" w:tblpY="-374"/>
        <w:tblOverlap w:val="never"/>
        <w:tblW w:w="0" w:type="auto"/>
        <w:tblLook w:val="04A0" w:firstRow="1" w:lastRow="0" w:firstColumn="1" w:lastColumn="0" w:noHBand="0" w:noVBand="1"/>
      </w:tblPr>
      <w:tblGrid>
        <w:gridCol w:w="1787"/>
        <w:gridCol w:w="2896"/>
      </w:tblGrid>
      <w:tr w:rsidR="00484FFE" w14:paraId="1A1A91E1" w14:textId="77777777" w:rsidTr="00E37774">
        <w:tc>
          <w:tcPr>
            <w:tcW w:w="1787" w:type="dxa"/>
            <w:shd w:val="clear" w:color="auto" w:fill="D9D9D9" w:themeFill="background1" w:themeFillShade="D9"/>
          </w:tcPr>
          <w:p w14:paraId="6A87FEA5" w14:textId="77777777" w:rsidR="00484FFE" w:rsidRPr="00A14D27" w:rsidRDefault="00484FFE" w:rsidP="00484FFE">
            <w:pPr>
              <w:pBdr>
                <w:top w:val="none" w:sz="0" w:space="0" w:color="auto"/>
                <w:left w:val="none" w:sz="0" w:space="0" w:color="auto"/>
                <w:bottom w:val="none" w:sz="0" w:space="0" w:color="auto"/>
                <w:right w:val="none" w:sz="0" w:space="0" w:color="auto"/>
                <w:between w:val="none" w:sz="0" w:space="0" w:color="auto"/>
              </w:pBdr>
              <w:rPr>
                <w:b/>
                <w:color w:val="auto"/>
              </w:rPr>
            </w:pPr>
            <w:r>
              <w:rPr>
                <w:b/>
                <w:color w:val="auto"/>
              </w:rPr>
              <w:lastRenderedPageBreak/>
              <w:t>Numéro du cas</w:t>
            </w:r>
          </w:p>
        </w:tc>
        <w:tc>
          <w:tcPr>
            <w:tcW w:w="2896" w:type="dxa"/>
          </w:tcPr>
          <w:p w14:paraId="7E40E192" w14:textId="77777777" w:rsidR="00484FFE" w:rsidRDefault="00484FFE" w:rsidP="00484FFE">
            <w:pPr>
              <w:pBdr>
                <w:top w:val="none" w:sz="0" w:space="0" w:color="auto"/>
                <w:left w:val="none" w:sz="0" w:space="0" w:color="auto"/>
                <w:bottom w:val="none" w:sz="0" w:space="0" w:color="auto"/>
                <w:right w:val="none" w:sz="0" w:space="0" w:color="auto"/>
                <w:between w:val="none" w:sz="0" w:space="0" w:color="auto"/>
              </w:pBdr>
              <w:rPr>
                <w:color w:val="auto"/>
              </w:rPr>
            </w:pPr>
          </w:p>
        </w:tc>
      </w:tr>
      <w:tr w:rsidR="00484FFE" w14:paraId="35C9E523" w14:textId="77777777" w:rsidTr="00E37774">
        <w:tc>
          <w:tcPr>
            <w:tcW w:w="1787" w:type="dxa"/>
            <w:shd w:val="clear" w:color="auto" w:fill="D9D9D9" w:themeFill="background1" w:themeFillShade="D9"/>
          </w:tcPr>
          <w:p w14:paraId="085B37B0" w14:textId="77777777" w:rsidR="00484FFE" w:rsidRPr="00A14D27" w:rsidRDefault="00484FFE" w:rsidP="00484FFE">
            <w:pPr>
              <w:pBdr>
                <w:top w:val="none" w:sz="0" w:space="0" w:color="auto"/>
                <w:left w:val="none" w:sz="0" w:space="0" w:color="auto"/>
                <w:bottom w:val="none" w:sz="0" w:space="0" w:color="auto"/>
                <w:right w:val="none" w:sz="0" w:space="0" w:color="auto"/>
                <w:between w:val="none" w:sz="0" w:space="0" w:color="auto"/>
              </w:pBdr>
              <w:rPr>
                <w:b/>
                <w:color w:val="auto"/>
              </w:rPr>
            </w:pPr>
            <w:r>
              <w:rPr>
                <w:b/>
                <w:color w:val="auto"/>
              </w:rPr>
              <w:t>Date</w:t>
            </w:r>
          </w:p>
        </w:tc>
        <w:tc>
          <w:tcPr>
            <w:tcW w:w="2896" w:type="dxa"/>
          </w:tcPr>
          <w:p w14:paraId="2E741156" w14:textId="77777777" w:rsidR="00484FFE" w:rsidRDefault="00484FFE" w:rsidP="00484FFE">
            <w:pPr>
              <w:pBdr>
                <w:top w:val="none" w:sz="0" w:space="0" w:color="auto"/>
                <w:left w:val="none" w:sz="0" w:space="0" w:color="auto"/>
                <w:bottom w:val="none" w:sz="0" w:space="0" w:color="auto"/>
                <w:right w:val="none" w:sz="0" w:space="0" w:color="auto"/>
                <w:between w:val="none" w:sz="0" w:space="0" w:color="auto"/>
              </w:pBdr>
              <w:rPr>
                <w:color w:val="auto"/>
              </w:rPr>
            </w:pPr>
          </w:p>
        </w:tc>
      </w:tr>
      <w:tr w:rsidR="00484FFE" w14:paraId="33A188A1" w14:textId="77777777" w:rsidTr="00E37774">
        <w:tc>
          <w:tcPr>
            <w:tcW w:w="1787" w:type="dxa"/>
            <w:shd w:val="clear" w:color="auto" w:fill="D9D9D9" w:themeFill="background1" w:themeFillShade="D9"/>
          </w:tcPr>
          <w:p w14:paraId="1D6841D7" w14:textId="77777777" w:rsidR="00484FFE" w:rsidRPr="00A14D27" w:rsidRDefault="00484FFE" w:rsidP="00484FFE">
            <w:pPr>
              <w:pBdr>
                <w:top w:val="none" w:sz="0" w:space="0" w:color="auto"/>
                <w:left w:val="none" w:sz="0" w:space="0" w:color="auto"/>
                <w:bottom w:val="none" w:sz="0" w:space="0" w:color="auto"/>
                <w:right w:val="none" w:sz="0" w:space="0" w:color="auto"/>
                <w:between w:val="none" w:sz="0" w:space="0" w:color="auto"/>
              </w:pBdr>
              <w:rPr>
                <w:b/>
                <w:color w:val="auto"/>
              </w:rPr>
            </w:pPr>
            <w:r>
              <w:rPr>
                <w:b/>
                <w:color w:val="auto"/>
              </w:rPr>
              <w:t>Travailleur social</w:t>
            </w:r>
          </w:p>
        </w:tc>
        <w:tc>
          <w:tcPr>
            <w:tcW w:w="2896" w:type="dxa"/>
          </w:tcPr>
          <w:p w14:paraId="43B28B94" w14:textId="77777777" w:rsidR="00484FFE" w:rsidRDefault="00484FFE" w:rsidP="00484FFE">
            <w:pPr>
              <w:pBdr>
                <w:top w:val="none" w:sz="0" w:space="0" w:color="auto"/>
                <w:left w:val="none" w:sz="0" w:space="0" w:color="auto"/>
                <w:bottom w:val="none" w:sz="0" w:space="0" w:color="auto"/>
                <w:right w:val="none" w:sz="0" w:space="0" w:color="auto"/>
                <w:between w:val="none" w:sz="0" w:space="0" w:color="auto"/>
              </w:pBdr>
              <w:rPr>
                <w:color w:val="auto"/>
              </w:rPr>
            </w:pPr>
          </w:p>
        </w:tc>
      </w:tr>
      <w:tr w:rsidR="00484FFE" w14:paraId="184B6A1B" w14:textId="77777777" w:rsidTr="00E37774">
        <w:tc>
          <w:tcPr>
            <w:tcW w:w="1787" w:type="dxa"/>
            <w:shd w:val="clear" w:color="auto" w:fill="D9D9D9" w:themeFill="background1" w:themeFillShade="D9"/>
          </w:tcPr>
          <w:p w14:paraId="5703567D" w14:textId="77777777" w:rsidR="00484FFE" w:rsidRPr="00A14D27" w:rsidRDefault="00484FFE" w:rsidP="00484FFE">
            <w:pPr>
              <w:pBdr>
                <w:top w:val="none" w:sz="0" w:space="0" w:color="auto"/>
                <w:left w:val="none" w:sz="0" w:space="0" w:color="auto"/>
                <w:bottom w:val="none" w:sz="0" w:space="0" w:color="auto"/>
                <w:right w:val="none" w:sz="0" w:space="0" w:color="auto"/>
                <w:between w:val="none" w:sz="0" w:space="0" w:color="auto"/>
              </w:pBdr>
              <w:rPr>
                <w:b/>
                <w:color w:val="auto"/>
              </w:rPr>
            </w:pPr>
            <w:r>
              <w:rPr>
                <w:b/>
                <w:color w:val="auto"/>
              </w:rPr>
              <w:t xml:space="preserve">Superviseur </w:t>
            </w:r>
          </w:p>
        </w:tc>
        <w:tc>
          <w:tcPr>
            <w:tcW w:w="2896" w:type="dxa"/>
          </w:tcPr>
          <w:p w14:paraId="3619D69F" w14:textId="77777777" w:rsidR="00484FFE" w:rsidRDefault="00484FFE" w:rsidP="00484FFE">
            <w:pPr>
              <w:pBdr>
                <w:top w:val="none" w:sz="0" w:space="0" w:color="auto"/>
                <w:left w:val="none" w:sz="0" w:space="0" w:color="auto"/>
                <w:bottom w:val="none" w:sz="0" w:space="0" w:color="auto"/>
                <w:right w:val="none" w:sz="0" w:space="0" w:color="auto"/>
                <w:between w:val="none" w:sz="0" w:space="0" w:color="auto"/>
              </w:pBdr>
              <w:rPr>
                <w:color w:val="auto"/>
              </w:rPr>
            </w:pPr>
          </w:p>
        </w:tc>
      </w:tr>
    </w:tbl>
    <w:p w14:paraId="0EEDB11F" w14:textId="77777777" w:rsidR="00484FFE" w:rsidRPr="00484FFE" w:rsidRDefault="00555805" w:rsidP="00484FFE">
      <w:pPr>
        <w:rPr>
          <w:b/>
          <w:color w:val="auto"/>
          <w:sz w:val="28"/>
          <w:szCs w:val="28"/>
        </w:rPr>
      </w:pPr>
      <w:r>
        <w:rPr>
          <w:b/>
          <w:color w:val="auto"/>
          <w:sz w:val="28"/>
          <w:szCs w:val="28"/>
        </w:rPr>
        <w:t>Check-list des dossiers</w:t>
      </w:r>
    </w:p>
    <w:p w14:paraId="566E9C17" w14:textId="77777777" w:rsidR="009E58BF" w:rsidRDefault="009E58BF">
      <w:pPr>
        <w:rPr>
          <w:color w:val="auto"/>
        </w:rPr>
      </w:pPr>
    </w:p>
    <w:p w14:paraId="09ECAC8F" w14:textId="77777777" w:rsidR="00484FFE" w:rsidRPr="009E58BF" w:rsidRDefault="00484FFE">
      <w:pPr>
        <w:rPr>
          <w:color w:val="auto"/>
        </w:rPr>
      </w:pPr>
    </w:p>
    <w:tbl>
      <w:tblPr>
        <w:tblStyle w:val="TableGrid"/>
        <w:tblW w:w="0" w:type="auto"/>
        <w:tblLayout w:type="fixed"/>
        <w:tblLook w:val="04A0" w:firstRow="1" w:lastRow="0" w:firstColumn="1" w:lastColumn="0" w:noHBand="0" w:noVBand="1"/>
      </w:tblPr>
      <w:tblGrid>
        <w:gridCol w:w="385"/>
        <w:gridCol w:w="4468"/>
        <w:gridCol w:w="962"/>
        <w:gridCol w:w="3535"/>
      </w:tblGrid>
      <w:tr w:rsidR="009E58BF" w14:paraId="1CC06A3E" w14:textId="77777777" w:rsidTr="00E37774">
        <w:tc>
          <w:tcPr>
            <w:tcW w:w="4853" w:type="dxa"/>
            <w:gridSpan w:val="2"/>
            <w:shd w:val="clear" w:color="auto" w:fill="DBDBDB" w:themeFill="accent3" w:themeFillTint="66"/>
          </w:tcPr>
          <w:p w14:paraId="4934F562" w14:textId="70A3A6EB" w:rsidR="009E58BF" w:rsidRPr="00F40878" w:rsidRDefault="009E58BF">
            <w:pPr>
              <w:pBdr>
                <w:top w:val="none" w:sz="0" w:space="0" w:color="auto"/>
                <w:left w:val="none" w:sz="0" w:space="0" w:color="auto"/>
                <w:bottom w:val="none" w:sz="0" w:space="0" w:color="auto"/>
                <w:right w:val="none" w:sz="0" w:space="0" w:color="auto"/>
                <w:between w:val="none" w:sz="0" w:space="0" w:color="auto"/>
              </w:pBdr>
              <w:rPr>
                <w:b/>
                <w:color w:val="auto"/>
              </w:rPr>
            </w:pPr>
            <w:r>
              <w:rPr>
                <w:b/>
                <w:color w:val="auto"/>
              </w:rPr>
              <w:t>Documentation générale</w:t>
            </w:r>
          </w:p>
        </w:tc>
        <w:tc>
          <w:tcPr>
            <w:tcW w:w="962" w:type="dxa"/>
            <w:shd w:val="clear" w:color="auto" w:fill="DBDBDB" w:themeFill="accent3" w:themeFillTint="66"/>
          </w:tcPr>
          <w:p w14:paraId="0FB692E9" w14:textId="1624C444" w:rsidR="009E58BF" w:rsidRDefault="009E58BF">
            <w:pPr>
              <w:pBdr>
                <w:top w:val="none" w:sz="0" w:space="0" w:color="auto"/>
                <w:left w:val="none" w:sz="0" w:space="0" w:color="auto"/>
                <w:bottom w:val="none" w:sz="0" w:space="0" w:color="auto"/>
                <w:right w:val="none" w:sz="0" w:space="0" w:color="auto"/>
                <w:between w:val="none" w:sz="0" w:space="0" w:color="auto"/>
              </w:pBdr>
              <w:rPr>
                <w:color w:val="auto"/>
              </w:rPr>
            </w:pPr>
            <w:r>
              <w:rPr>
                <w:color w:val="auto"/>
              </w:rPr>
              <w:t>O/N/SO</w:t>
            </w:r>
          </w:p>
        </w:tc>
        <w:tc>
          <w:tcPr>
            <w:tcW w:w="3535" w:type="dxa"/>
            <w:shd w:val="clear" w:color="auto" w:fill="DBDBDB" w:themeFill="accent3" w:themeFillTint="66"/>
          </w:tcPr>
          <w:p w14:paraId="6A2EB41B" w14:textId="52D1B1D0" w:rsidR="009E58BF" w:rsidRDefault="02365596" w:rsidP="02365596">
            <w:pPr>
              <w:pBdr>
                <w:top w:val="none" w:sz="0" w:space="0" w:color="auto"/>
                <w:left w:val="none" w:sz="0" w:space="0" w:color="auto"/>
                <w:bottom w:val="none" w:sz="0" w:space="0" w:color="auto"/>
                <w:right w:val="none" w:sz="0" w:space="0" w:color="auto"/>
                <w:between w:val="none" w:sz="0" w:space="0" w:color="auto"/>
              </w:pBdr>
              <w:rPr>
                <w:color w:val="auto"/>
              </w:rPr>
            </w:pPr>
            <w:r>
              <w:rPr>
                <w:color w:val="auto"/>
              </w:rPr>
              <w:t>Commentaires/Recommandations</w:t>
            </w:r>
            <w:r w:rsidR="00E37774">
              <w:rPr>
                <w:color w:val="auto"/>
              </w:rPr>
              <w:t xml:space="preserve"> </w:t>
            </w:r>
          </w:p>
        </w:tc>
      </w:tr>
      <w:tr w:rsidR="009E58BF" w14:paraId="6C109BDB" w14:textId="77777777" w:rsidTr="00E37774">
        <w:tc>
          <w:tcPr>
            <w:tcW w:w="385" w:type="dxa"/>
          </w:tcPr>
          <w:p w14:paraId="1CB89EB9" w14:textId="514776D0" w:rsidR="009E58BF" w:rsidRDefault="009E58BF">
            <w:pPr>
              <w:pBdr>
                <w:top w:val="none" w:sz="0" w:space="0" w:color="auto"/>
                <w:left w:val="none" w:sz="0" w:space="0" w:color="auto"/>
                <w:bottom w:val="none" w:sz="0" w:space="0" w:color="auto"/>
                <w:right w:val="none" w:sz="0" w:space="0" w:color="auto"/>
                <w:between w:val="none" w:sz="0" w:space="0" w:color="auto"/>
              </w:pBdr>
              <w:rPr>
                <w:color w:val="auto"/>
              </w:rPr>
            </w:pPr>
            <w:r>
              <w:rPr>
                <w:color w:val="auto"/>
              </w:rPr>
              <w:t>1</w:t>
            </w:r>
          </w:p>
        </w:tc>
        <w:tc>
          <w:tcPr>
            <w:tcW w:w="4468" w:type="dxa"/>
          </w:tcPr>
          <w:p w14:paraId="71ADDCA5" w14:textId="0B71B067" w:rsidR="009E58BF" w:rsidRDefault="00BB6642" w:rsidP="00BB6642">
            <w:pPr>
              <w:pBdr>
                <w:top w:val="none" w:sz="0" w:space="0" w:color="auto"/>
                <w:left w:val="none" w:sz="0" w:space="0" w:color="auto"/>
                <w:bottom w:val="none" w:sz="0" w:space="0" w:color="auto"/>
                <w:right w:val="none" w:sz="0" w:space="0" w:color="auto"/>
                <w:between w:val="none" w:sz="0" w:space="0" w:color="auto"/>
              </w:pBdr>
              <w:rPr>
                <w:color w:val="auto"/>
              </w:rPr>
            </w:pPr>
            <w:r>
              <w:rPr>
                <w:color w:val="auto"/>
              </w:rPr>
              <w:t>La documentation papier pour chaque enfant doit être rangée dans son propre dossier, clairement étiquetée avec le code d’identification de l’enfant</w:t>
            </w:r>
          </w:p>
        </w:tc>
        <w:tc>
          <w:tcPr>
            <w:tcW w:w="962" w:type="dxa"/>
          </w:tcPr>
          <w:p w14:paraId="35F6A40C" w14:textId="77777777" w:rsidR="009E58BF" w:rsidRDefault="009E58BF">
            <w:pPr>
              <w:pBdr>
                <w:top w:val="none" w:sz="0" w:space="0" w:color="auto"/>
                <w:left w:val="none" w:sz="0" w:space="0" w:color="auto"/>
                <w:bottom w:val="none" w:sz="0" w:space="0" w:color="auto"/>
                <w:right w:val="none" w:sz="0" w:space="0" w:color="auto"/>
                <w:between w:val="none" w:sz="0" w:space="0" w:color="auto"/>
              </w:pBdr>
              <w:rPr>
                <w:color w:val="auto"/>
              </w:rPr>
            </w:pPr>
          </w:p>
        </w:tc>
        <w:tc>
          <w:tcPr>
            <w:tcW w:w="3535" w:type="dxa"/>
          </w:tcPr>
          <w:p w14:paraId="52002ECF" w14:textId="77777777" w:rsidR="009E58BF" w:rsidRDefault="009E58BF">
            <w:pPr>
              <w:pBdr>
                <w:top w:val="none" w:sz="0" w:space="0" w:color="auto"/>
                <w:left w:val="none" w:sz="0" w:space="0" w:color="auto"/>
                <w:bottom w:val="none" w:sz="0" w:space="0" w:color="auto"/>
                <w:right w:val="none" w:sz="0" w:space="0" w:color="auto"/>
                <w:between w:val="none" w:sz="0" w:space="0" w:color="auto"/>
              </w:pBdr>
              <w:rPr>
                <w:color w:val="auto"/>
              </w:rPr>
            </w:pPr>
          </w:p>
        </w:tc>
      </w:tr>
      <w:tr w:rsidR="00184011" w14:paraId="3AA63E78" w14:textId="77777777" w:rsidTr="00E37774">
        <w:tc>
          <w:tcPr>
            <w:tcW w:w="385" w:type="dxa"/>
          </w:tcPr>
          <w:p w14:paraId="0CFAC429" w14:textId="13864DB1" w:rsidR="00184011" w:rsidRDefault="00184011">
            <w:pPr>
              <w:pBdr>
                <w:top w:val="none" w:sz="0" w:space="0" w:color="auto"/>
                <w:left w:val="none" w:sz="0" w:space="0" w:color="auto"/>
                <w:bottom w:val="none" w:sz="0" w:space="0" w:color="auto"/>
                <w:right w:val="none" w:sz="0" w:space="0" w:color="auto"/>
                <w:between w:val="none" w:sz="0" w:space="0" w:color="auto"/>
              </w:pBdr>
              <w:rPr>
                <w:color w:val="auto"/>
              </w:rPr>
            </w:pPr>
            <w:r>
              <w:rPr>
                <w:color w:val="auto"/>
              </w:rPr>
              <w:t>2</w:t>
            </w:r>
          </w:p>
        </w:tc>
        <w:tc>
          <w:tcPr>
            <w:tcW w:w="4468" w:type="dxa"/>
          </w:tcPr>
          <w:p w14:paraId="0B441D02" w14:textId="71CFBAAA" w:rsidR="00184011" w:rsidRDefault="00184011" w:rsidP="00555805">
            <w:pPr>
              <w:pBdr>
                <w:top w:val="none" w:sz="0" w:space="0" w:color="auto"/>
                <w:left w:val="none" w:sz="0" w:space="0" w:color="auto"/>
                <w:bottom w:val="none" w:sz="0" w:space="0" w:color="auto"/>
                <w:right w:val="none" w:sz="0" w:space="0" w:color="auto"/>
                <w:between w:val="none" w:sz="0" w:space="0" w:color="auto"/>
              </w:pBdr>
              <w:rPr>
                <w:color w:val="auto"/>
              </w:rPr>
            </w:pPr>
            <w:r>
              <w:rPr>
                <w:color w:val="auto"/>
              </w:rPr>
              <w:t>À chaque étape du processus de gestion de cas accomplie jusqu’à présent doit correspondre son formulaire attitré</w:t>
            </w:r>
          </w:p>
        </w:tc>
        <w:tc>
          <w:tcPr>
            <w:tcW w:w="962" w:type="dxa"/>
          </w:tcPr>
          <w:p w14:paraId="4F198D79" w14:textId="77777777" w:rsidR="00184011" w:rsidRDefault="00184011">
            <w:pPr>
              <w:pBdr>
                <w:top w:val="none" w:sz="0" w:space="0" w:color="auto"/>
                <w:left w:val="none" w:sz="0" w:space="0" w:color="auto"/>
                <w:bottom w:val="none" w:sz="0" w:space="0" w:color="auto"/>
                <w:right w:val="none" w:sz="0" w:space="0" w:color="auto"/>
                <w:between w:val="none" w:sz="0" w:space="0" w:color="auto"/>
              </w:pBdr>
              <w:rPr>
                <w:color w:val="auto"/>
              </w:rPr>
            </w:pPr>
          </w:p>
        </w:tc>
        <w:tc>
          <w:tcPr>
            <w:tcW w:w="3535" w:type="dxa"/>
          </w:tcPr>
          <w:p w14:paraId="22553A31" w14:textId="77777777" w:rsidR="00184011" w:rsidRDefault="00184011">
            <w:pPr>
              <w:pBdr>
                <w:top w:val="none" w:sz="0" w:space="0" w:color="auto"/>
                <w:left w:val="none" w:sz="0" w:space="0" w:color="auto"/>
                <w:bottom w:val="none" w:sz="0" w:space="0" w:color="auto"/>
                <w:right w:val="none" w:sz="0" w:space="0" w:color="auto"/>
                <w:between w:val="none" w:sz="0" w:space="0" w:color="auto"/>
              </w:pBdr>
              <w:rPr>
                <w:color w:val="auto"/>
              </w:rPr>
            </w:pPr>
          </w:p>
        </w:tc>
      </w:tr>
      <w:tr w:rsidR="009E58BF" w14:paraId="2C9B5FF4" w14:textId="77777777" w:rsidTr="00E37774">
        <w:tc>
          <w:tcPr>
            <w:tcW w:w="385" w:type="dxa"/>
          </w:tcPr>
          <w:p w14:paraId="54380689" w14:textId="3AC9BB58" w:rsidR="009E58BF" w:rsidRDefault="00184011">
            <w:pPr>
              <w:pBdr>
                <w:top w:val="none" w:sz="0" w:space="0" w:color="auto"/>
                <w:left w:val="none" w:sz="0" w:space="0" w:color="auto"/>
                <w:bottom w:val="none" w:sz="0" w:space="0" w:color="auto"/>
                <w:right w:val="none" w:sz="0" w:space="0" w:color="auto"/>
                <w:between w:val="none" w:sz="0" w:space="0" w:color="auto"/>
              </w:pBdr>
              <w:rPr>
                <w:color w:val="auto"/>
              </w:rPr>
            </w:pPr>
            <w:r>
              <w:rPr>
                <w:color w:val="auto"/>
              </w:rPr>
              <w:t>3</w:t>
            </w:r>
          </w:p>
        </w:tc>
        <w:tc>
          <w:tcPr>
            <w:tcW w:w="4468" w:type="dxa"/>
          </w:tcPr>
          <w:p w14:paraId="045F97DB" w14:textId="723EEE40" w:rsidR="009E58BF" w:rsidRPr="00E37774" w:rsidRDefault="02365596" w:rsidP="02365596">
            <w:pPr>
              <w:pBdr>
                <w:top w:val="none" w:sz="0" w:space="0" w:color="auto"/>
                <w:left w:val="none" w:sz="0" w:space="0" w:color="auto"/>
                <w:bottom w:val="none" w:sz="0" w:space="0" w:color="auto"/>
                <w:right w:val="none" w:sz="0" w:space="0" w:color="auto"/>
                <w:between w:val="none" w:sz="0" w:space="0" w:color="auto"/>
              </w:pBdr>
              <w:rPr>
                <w:color w:val="auto"/>
                <w:spacing w:val="-4"/>
              </w:rPr>
            </w:pPr>
            <w:r w:rsidRPr="00E37774">
              <w:rPr>
                <w:color w:val="auto"/>
                <w:spacing w:val="-4"/>
              </w:rPr>
              <w:t>Toutes les sections pertinentes des formulaires doivent etre remplies intégralement et avec exactitude, selon le statut du cas</w:t>
            </w:r>
          </w:p>
        </w:tc>
        <w:tc>
          <w:tcPr>
            <w:tcW w:w="962" w:type="dxa"/>
          </w:tcPr>
          <w:p w14:paraId="6251571E" w14:textId="77777777" w:rsidR="009E58BF" w:rsidRDefault="009E58BF">
            <w:pPr>
              <w:pBdr>
                <w:top w:val="none" w:sz="0" w:space="0" w:color="auto"/>
                <w:left w:val="none" w:sz="0" w:space="0" w:color="auto"/>
                <w:bottom w:val="none" w:sz="0" w:space="0" w:color="auto"/>
                <w:right w:val="none" w:sz="0" w:space="0" w:color="auto"/>
                <w:between w:val="none" w:sz="0" w:space="0" w:color="auto"/>
              </w:pBdr>
              <w:rPr>
                <w:color w:val="auto"/>
              </w:rPr>
            </w:pPr>
          </w:p>
        </w:tc>
        <w:tc>
          <w:tcPr>
            <w:tcW w:w="3535" w:type="dxa"/>
          </w:tcPr>
          <w:p w14:paraId="6587FA54" w14:textId="77777777" w:rsidR="009E58BF" w:rsidRDefault="009E58BF">
            <w:pPr>
              <w:pBdr>
                <w:top w:val="none" w:sz="0" w:space="0" w:color="auto"/>
                <w:left w:val="none" w:sz="0" w:space="0" w:color="auto"/>
                <w:bottom w:val="none" w:sz="0" w:space="0" w:color="auto"/>
                <w:right w:val="none" w:sz="0" w:space="0" w:color="auto"/>
                <w:between w:val="none" w:sz="0" w:space="0" w:color="auto"/>
              </w:pBdr>
              <w:rPr>
                <w:color w:val="auto"/>
              </w:rPr>
            </w:pPr>
          </w:p>
        </w:tc>
      </w:tr>
      <w:tr w:rsidR="009E58BF" w14:paraId="6E27401A" w14:textId="77777777" w:rsidTr="00E37774">
        <w:tc>
          <w:tcPr>
            <w:tcW w:w="4853" w:type="dxa"/>
            <w:gridSpan w:val="2"/>
            <w:shd w:val="clear" w:color="auto" w:fill="DBDBDB" w:themeFill="accent3" w:themeFillTint="66"/>
          </w:tcPr>
          <w:p w14:paraId="4D565914" w14:textId="53A0E513" w:rsidR="009E58BF" w:rsidRPr="00F40878" w:rsidRDefault="00F40878" w:rsidP="009E58BF">
            <w:pPr>
              <w:pBdr>
                <w:top w:val="none" w:sz="0" w:space="0" w:color="auto"/>
                <w:left w:val="none" w:sz="0" w:space="0" w:color="auto"/>
                <w:bottom w:val="none" w:sz="0" w:space="0" w:color="auto"/>
                <w:right w:val="none" w:sz="0" w:space="0" w:color="auto"/>
                <w:between w:val="none" w:sz="0" w:space="0" w:color="auto"/>
              </w:pBdr>
              <w:rPr>
                <w:b/>
                <w:color w:val="auto"/>
              </w:rPr>
            </w:pPr>
            <w:r>
              <w:rPr>
                <w:b/>
                <w:color w:val="auto"/>
              </w:rPr>
              <w:t xml:space="preserve">Identification et enregistrement </w:t>
            </w:r>
          </w:p>
        </w:tc>
        <w:tc>
          <w:tcPr>
            <w:tcW w:w="962" w:type="dxa"/>
            <w:shd w:val="clear" w:color="auto" w:fill="DBDBDB" w:themeFill="accent3" w:themeFillTint="66"/>
          </w:tcPr>
          <w:p w14:paraId="04A4429A" w14:textId="6B141436" w:rsidR="009E58BF" w:rsidRDefault="009E58BF" w:rsidP="009E58BF">
            <w:pPr>
              <w:pBdr>
                <w:top w:val="none" w:sz="0" w:space="0" w:color="auto"/>
                <w:left w:val="none" w:sz="0" w:space="0" w:color="auto"/>
                <w:bottom w:val="none" w:sz="0" w:space="0" w:color="auto"/>
                <w:right w:val="none" w:sz="0" w:space="0" w:color="auto"/>
                <w:between w:val="none" w:sz="0" w:space="0" w:color="auto"/>
              </w:pBdr>
              <w:rPr>
                <w:color w:val="auto"/>
              </w:rPr>
            </w:pPr>
            <w:r>
              <w:rPr>
                <w:color w:val="auto"/>
              </w:rPr>
              <w:t>O/N/SO</w:t>
            </w:r>
          </w:p>
        </w:tc>
        <w:tc>
          <w:tcPr>
            <w:tcW w:w="3535" w:type="dxa"/>
            <w:shd w:val="clear" w:color="auto" w:fill="DBDBDB" w:themeFill="accent3" w:themeFillTint="66"/>
          </w:tcPr>
          <w:p w14:paraId="2C9BC026" w14:textId="69B2D95F" w:rsidR="009E58BF" w:rsidRDefault="02365596" w:rsidP="02365596">
            <w:pPr>
              <w:pBdr>
                <w:top w:val="none" w:sz="0" w:space="0" w:color="auto"/>
                <w:left w:val="none" w:sz="0" w:space="0" w:color="auto"/>
                <w:bottom w:val="none" w:sz="0" w:space="0" w:color="auto"/>
                <w:right w:val="none" w:sz="0" w:space="0" w:color="auto"/>
                <w:between w:val="none" w:sz="0" w:space="0" w:color="auto"/>
              </w:pBdr>
              <w:rPr>
                <w:color w:val="auto"/>
              </w:rPr>
            </w:pPr>
            <w:r>
              <w:rPr>
                <w:color w:val="auto"/>
              </w:rPr>
              <w:t>Commentaires/Recommandations</w:t>
            </w:r>
            <w:r w:rsidR="00E37774">
              <w:rPr>
                <w:color w:val="auto"/>
              </w:rPr>
              <w:t xml:space="preserve"> </w:t>
            </w:r>
          </w:p>
        </w:tc>
      </w:tr>
      <w:tr w:rsidR="009E58BF" w14:paraId="6332530E" w14:textId="77777777" w:rsidTr="00E37774">
        <w:tc>
          <w:tcPr>
            <w:tcW w:w="385" w:type="dxa"/>
          </w:tcPr>
          <w:p w14:paraId="72D31E87" w14:textId="77777777" w:rsidR="009E58BF" w:rsidRDefault="009E58BF" w:rsidP="009E58BF">
            <w:pPr>
              <w:pBdr>
                <w:top w:val="none" w:sz="0" w:space="0" w:color="auto"/>
                <w:left w:val="none" w:sz="0" w:space="0" w:color="auto"/>
                <w:bottom w:val="none" w:sz="0" w:space="0" w:color="auto"/>
                <w:right w:val="none" w:sz="0" w:space="0" w:color="auto"/>
                <w:between w:val="none" w:sz="0" w:space="0" w:color="auto"/>
              </w:pBdr>
              <w:rPr>
                <w:color w:val="auto"/>
              </w:rPr>
            </w:pPr>
            <w:r>
              <w:rPr>
                <w:color w:val="auto"/>
              </w:rPr>
              <w:t>1</w:t>
            </w:r>
          </w:p>
        </w:tc>
        <w:tc>
          <w:tcPr>
            <w:tcW w:w="4468" w:type="dxa"/>
          </w:tcPr>
          <w:p w14:paraId="28470F44" w14:textId="76B88441" w:rsidR="009E58BF" w:rsidRPr="00E37774" w:rsidRDefault="02365596" w:rsidP="02365596">
            <w:pPr>
              <w:pBdr>
                <w:top w:val="none" w:sz="0" w:space="0" w:color="auto"/>
                <w:left w:val="none" w:sz="0" w:space="0" w:color="auto"/>
                <w:bottom w:val="none" w:sz="0" w:space="0" w:color="auto"/>
                <w:right w:val="none" w:sz="0" w:space="0" w:color="auto"/>
                <w:between w:val="none" w:sz="0" w:space="0" w:color="auto"/>
              </w:pBdr>
              <w:rPr>
                <w:color w:val="auto"/>
                <w:spacing w:val="-2"/>
              </w:rPr>
            </w:pPr>
            <w:r w:rsidRPr="00E37774">
              <w:rPr>
                <w:color w:val="auto"/>
                <w:spacing w:val="-2"/>
              </w:rPr>
              <w:t xml:space="preserve">Le formulaire d’enregistrement doit être rempli et </w:t>
            </w:r>
            <w:r w:rsidR="00EF2D3B" w:rsidRPr="00EF2D3B">
              <w:rPr>
                <w:color w:val="auto"/>
                <w:spacing w:val="-2"/>
              </w:rPr>
              <w:t>contenir</w:t>
            </w:r>
            <w:r w:rsidRPr="00E37774">
              <w:rPr>
                <w:color w:val="auto"/>
                <w:spacing w:val="-2"/>
              </w:rPr>
              <w:t xml:space="preserve"> des informations détaillées sur les enfants/la famille et la localisation de l’enfant</w:t>
            </w:r>
          </w:p>
        </w:tc>
        <w:tc>
          <w:tcPr>
            <w:tcW w:w="962" w:type="dxa"/>
          </w:tcPr>
          <w:p w14:paraId="49215EAC" w14:textId="77777777" w:rsidR="009E58BF" w:rsidRDefault="009E58BF" w:rsidP="009E58BF">
            <w:pPr>
              <w:pBdr>
                <w:top w:val="none" w:sz="0" w:space="0" w:color="auto"/>
                <w:left w:val="none" w:sz="0" w:space="0" w:color="auto"/>
                <w:bottom w:val="none" w:sz="0" w:space="0" w:color="auto"/>
                <w:right w:val="none" w:sz="0" w:space="0" w:color="auto"/>
                <w:between w:val="none" w:sz="0" w:space="0" w:color="auto"/>
              </w:pBdr>
              <w:rPr>
                <w:color w:val="auto"/>
              </w:rPr>
            </w:pPr>
          </w:p>
        </w:tc>
        <w:tc>
          <w:tcPr>
            <w:tcW w:w="3535" w:type="dxa"/>
          </w:tcPr>
          <w:p w14:paraId="2039C474" w14:textId="77777777" w:rsidR="009E58BF" w:rsidRDefault="009E58BF" w:rsidP="009E58BF">
            <w:pPr>
              <w:pBdr>
                <w:top w:val="none" w:sz="0" w:space="0" w:color="auto"/>
                <w:left w:val="none" w:sz="0" w:space="0" w:color="auto"/>
                <w:bottom w:val="none" w:sz="0" w:space="0" w:color="auto"/>
                <w:right w:val="none" w:sz="0" w:space="0" w:color="auto"/>
                <w:between w:val="none" w:sz="0" w:space="0" w:color="auto"/>
              </w:pBdr>
              <w:rPr>
                <w:color w:val="auto"/>
              </w:rPr>
            </w:pPr>
          </w:p>
        </w:tc>
      </w:tr>
      <w:tr w:rsidR="00184011" w14:paraId="46EC1458" w14:textId="77777777" w:rsidTr="00E37774">
        <w:tc>
          <w:tcPr>
            <w:tcW w:w="385" w:type="dxa"/>
          </w:tcPr>
          <w:p w14:paraId="116FC3ED" w14:textId="7DF98894" w:rsidR="00184011" w:rsidRDefault="0010727F" w:rsidP="009E58BF">
            <w:pPr>
              <w:pBdr>
                <w:top w:val="none" w:sz="0" w:space="0" w:color="auto"/>
                <w:left w:val="none" w:sz="0" w:space="0" w:color="auto"/>
                <w:bottom w:val="none" w:sz="0" w:space="0" w:color="auto"/>
                <w:right w:val="none" w:sz="0" w:space="0" w:color="auto"/>
                <w:between w:val="none" w:sz="0" w:space="0" w:color="auto"/>
              </w:pBdr>
              <w:rPr>
                <w:color w:val="auto"/>
              </w:rPr>
            </w:pPr>
            <w:r>
              <w:rPr>
                <w:color w:val="auto"/>
              </w:rPr>
              <w:t>2</w:t>
            </w:r>
          </w:p>
        </w:tc>
        <w:tc>
          <w:tcPr>
            <w:tcW w:w="4468" w:type="dxa"/>
          </w:tcPr>
          <w:p w14:paraId="07BC05A9" w14:textId="441B240D" w:rsidR="00184011" w:rsidRPr="00E37774" w:rsidRDefault="02365596" w:rsidP="02365596">
            <w:pPr>
              <w:pBdr>
                <w:top w:val="none" w:sz="0" w:space="0" w:color="auto"/>
                <w:left w:val="none" w:sz="0" w:space="0" w:color="auto"/>
                <w:bottom w:val="none" w:sz="0" w:space="0" w:color="auto"/>
                <w:right w:val="none" w:sz="0" w:space="0" w:color="auto"/>
                <w:between w:val="none" w:sz="0" w:space="0" w:color="auto"/>
              </w:pBdr>
              <w:rPr>
                <w:color w:val="auto"/>
              </w:rPr>
            </w:pPr>
            <w:r w:rsidRPr="00E37774">
              <w:rPr>
                <w:color w:val="auto"/>
              </w:rPr>
              <w:t xml:space="preserve">Le consentement/l’accord éclairé concernant </w:t>
            </w:r>
            <w:r w:rsidR="00E37774">
              <w:rPr>
                <w:color w:val="auto"/>
              </w:rPr>
              <w:br/>
            </w:r>
            <w:r w:rsidRPr="00E37774">
              <w:rPr>
                <w:color w:val="auto"/>
              </w:rPr>
              <w:t xml:space="preserve">la collecte, le stockage et le partage des informations a été obtenu auprès de l’enfant </w:t>
            </w:r>
            <w:r w:rsidR="00E37774">
              <w:rPr>
                <w:color w:val="auto"/>
              </w:rPr>
              <w:br/>
            </w:r>
            <w:r w:rsidRPr="00E37774">
              <w:rPr>
                <w:color w:val="auto"/>
              </w:rPr>
              <w:t>et du tuteur</w:t>
            </w:r>
          </w:p>
        </w:tc>
        <w:tc>
          <w:tcPr>
            <w:tcW w:w="962" w:type="dxa"/>
          </w:tcPr>
          <w:p w14:paraId="5331DE77" w14:textId="77777777" w:rsidR="00184011" w:rsidRDefault="00184011" w:rsidP="009E58BF">
            <w:pPr>
              <w:pBdr>
                <w:top w:val="none" w:sz="0" w:space="0" w:color="auto"/>
                <w:left w:val="none" w:sz="0" w:space="0" w:color="auto"/>
                <w:bottom w:val="none" w:sz="0" w:space="0" w:color="auto"/>
                <w:right w:val="none" w:sz="0" w:space="0" w:color="auto"/>
                <w:between w:val="none" w:sz="0" w:space="0" w:color="auto"/>
              </w:pBdr>
              <w:rPr>
                <w:color w:val="auto"/>
              </w:rPr>
            </w:pPr>
          </w:p>
        </w:tc>
        <w:tc>
          <w:tcPr>
            <w:tcW w:w="3535" w:type="dxa"/>
          </w:tcPr>
          <w:p w14:paraId="3B304C4E" w14:textId="77777777" w:rsidR="00184011" w:rsidRDefault="00184011" w:rsidP="009E58BF">
            <w:pPr>
              <w:pBdr>
                <w:top w:val="none" w:sz="0" w:space="0" w:color="auto"/>
                <w:left w:val="none" w:sz="0" w:space="0" w:color="auto"/>
                <w:bottom w:val="none" w:sz="0" w:space="0" w:color="auto"/>
                <w:right w:val="none" w:sz="0" w:space="0" w:color="auto"/>
                <w:between w:val="none" w:sz="0" w:space="0" w:color="auto"/>
              </w:pBdr>
              <w:rPr>
                <w:color w:val="auto"/>
              </w:rPr>
            </w:pPr>
          </w:p>
        </w:tc>
      </w:tr>
      <w:tr w:rsidR="009E58BF" w14:paraId="6AB3127D" w14:textId="77777777" w:rsidTr="00E37774">
        <w:tc>
          <w:tcPr>
            <w:tcW w:w="385" w:type="dxa"/>
          </w:tcPr>
          <w:p w14:paraId="1CA933C7" w14:textId="4B73ABF9" w:rsidR="009E58BF" w:rsidRDefault="0010727F" w:rsidP="009E58BF">
            <w:pPr>
              <w:pBdr>
                <w:top w:val="none" w:sz="0" w:space="0" w:color="auto"/>
                <w:left w:val="none" w:sz="0" w:space="0" w:color="auto"/>
                <w:bottom w:val="none" w:sz="0" w:space="0" w:color="auto"/>
                <w:right w:val="none" w:sz="0" w:space="0" w:color="auto"/>
                <w:between w:val="none" w:sz="0" w:space="0" w:color="auto"/>
              </w:pBdr>
              <w:rPr>
                <w:color w:val="auto"/>
              </w:rPr>
            </w:pPr>
            <w:r>
              <w:rPr>
                <w:color w:val="auto"/>
              </w:rPr>
              <w:t>3</w:t>
            </w:r>
          </w:p>
        </w:tc>
        <w:tc>
          <w:tcPr>
            <w:tcW w:w="4468" w:type="dxa"/>
          </w:tcPr>
          <w:p w14:paraId="22341E27" w14:textId="6042D3AC" w:rsidR="009E58BF" w:rsidRDefault="00F40878" w:rsidP="0010727F">
            <w:pPr>
              <w:pBdr>
                <w:top w:val="none" w:sz="0" w:space="0" w:color="auto"/>
                <w:left w:val="none" w:sz="0" w:space="0" w:color="auto"/>
                <w:bottom w:val="none" w:sz="0" w:space="0" w:color="auto"/>
                <w:right w:val="none" w:sz="0" w:space="0" w:color="auto"/>
                <w:between w:val="none" w:sz="0" w:space="0" w:color="auto"/>
              </w:pBdr>
              <w:rPr>
                <w:color w:val="auto"/>
              </w:rPr>
            </w:pPr>
            <w:r>
              <w:rPr>
                <w:color w:val="auto"/>
              </w:rPr>
              <w:t xml:space="preserve">Les préoccupations de l’enfant en termes </w:t>
            </w:r>
            <w:r w:rsidR="00E37774">
              <w:rPr>
                <w:color w:val="auto"/>
              </w:rPr>
              <w:br/>
            </w:r>
            <w:r>
              <w:rPr>
                <w:color w:val="auto"/>
              </w:rPr>
              <w:t>de protection répondent aux critères de vulnérabilité de l’organisation ou de l’agence</w:t>
            </w:r>
          </w:p>
        </w:tc>
        <w:tc>
          <w:tcPr>
            <w:tcW w:w="962" w:type="dxa"/>
          </w:tcPr>
          <w:p w14:paraId="4475953C" w14:textId="77777777" w:rsidR="009E58BF" w:rsidRDefault="009E58BF" w:rsidP="009E58BF">
            <w:pPr>
              <w:pBdr>
                <w:top w:val="none" w:sz="0" w:space="0" w:color="auto"/>
                <w:left w:val="none" w:sz="0" w:space="0" w:color="auto"/>
                <w:bottom w:val="none" w:sz="0" w:space="0" w:color="auto"/>
                <w:right w:val="none" w:sz="0" w:space="0" w:color="auto"/>
                <w:between w:val="none" w:sz="0" w:space="0" w:color="auto"/>
              </w:pBdr>
              <w:rPr>
                <w:color w:val="auto"/>
              </w:rPr>
            </w:pPr>
          </w:p>
        </w:tc>
        <w:tc>
          <w:tcPr>
            <w:tcW w:w="3535" w:type="dxa"/>
          </w:tcPr>
          <w:p w14:paraId="6DEAFB2E" w14:textId="77777777" w:rsidR="009E58BF" w:rsidRDefault="009E58BF" w:rsidP="009E58BF">
            <w:pPr>
              <w:pBdr>
                <w:top w:val="none" w:sz="0" w:space="0" w:color="auto"/>
                <w:left w:val="none" w:sz="0" w:space="0" w:color="auto"/>
                <w:bottom w:val="none" w:sz="0" w:space="0" w:color="auto"/>
                <w:right w:val="none" w:sz="0" w:space="0" w:color="auto"/>
                <w:between w:val="none" w:sz="0" w:space="0" w:color="auto"/>
              </w:pBdr>
              <w:rPr>
                <w:color w:val="auto"/>
              </w:rPr>
            </w:pPr>
          </w:p>
        </w:tc>
      </w:tr>
      <w:tr w:rsidR="009E58BF" w14:paraId="60E35197" w14:textId="77777777" w:rsidTr="00E37774">
        <w:tc>
          <w:tcPr>
            <w:tcW w:w="4853" w:type="dxa"/>
            <w:gridSpan w:val="2"/>
            <w:shd w:val="clear" w:color="auto" w:fill="DBDBDB" w:themeFill="accent3" w:themeFillTint="66"/>
          </w:tcPr>
          <w:p w14:paraId="3DD1F31E" w14:textId="4EB3ED26" w:rsidR="009E58BF" w:rsidRPr="00CE6951" w:rsidRDefault="00F40878" w:rsidP="009E58BF">
            <w:pPr>
              <w:pBdr>
                <w:top w:val="none" w:sz="0" w:space="0" w:color="auto"/>
                <w:left w:val="none" w:sz="0" w:space="0" w:color="auto"/>
                <w:bottom w:val="none" w:sz="0" w:space="0" w:color="auto"/>
                <w:right w:val="none" w:sz="0" w:space="0" w:color="auto"/>
                <w:between w:val="none" w:sz="0" w:space="0" w:color="auto"/>
              </w:pBdr>
              <w:rPr>
                <w:b/>
                <w:color w:val="auto"/>
              </w:rPr>
            </w:pPr>
            <w:r>
              <w:rPr>
                <w:b/>
                <w:color w:val="auto"/>
              </w:rPr>
              <w:t xml:space="preserve">Évaluation </w:t>
            </w:r>
          </w:p>
        </w:tc>
        <w:tc>
          <w:tcPr>
            <w:tcW w:w="962" w:type="dxa"/>
            <w:shd w:val="clear" w:color="auto" w:fill="DBDBDB" w:themeFill="accent3" w:themeFillTint="66"/>
          </w:tcPr>
          <w:p w14:paraId="3A6895EC" w14:textId="57EB6EF8" w:rsidR="009E58BF" w:rsidRDefault="009E58BF" w:rsidP="009E58BF">
            <w:pPr>
              <w:pBdr>
                <w:top w:val="none" w:sz="0" w:space="0" w:color="auto"/>
                <w:left w:val="none" w:sz="0" w:space="0" w:color="auto"/>
                <w:bottom w:val="none" w:sz="0" w:space="0" w:color="auto"/>
                <w:right w:val="none" w:sz="0" w:space="0" w:color="auto"/>
                <w:between w:val="none" w:sz="0" w:space="0" w:color="auto"/>
              </w:pBdr>
              <w:rPr>
                <w:color w:val="auto"/>
              </w:rPr>
            </w:pPr>
            <w:r>
              <w:rPr>
                <w:color w:val="auto"/>
              </w:rPr>
              <w:t>O/N/SO</w:t>
            </w:r>
          </w:p>
        </w:tc>
        <w:tc>
          <w:tcPr>
            <w:tcW w:w="3535" w:type="dxa"/>
            <w:shd w:val="clear" w:color="auto" w:fill="DBDBDB" w:themeFill="accent3" w:themeFillTint="66"/>
          </w:tcPr>
          <w:p w14:paraId="594C5846" w14:textId="69663B63" w:rsidR="009E58BF" w:rsidRDefault="02365596" w:rsidP="02365596">
            <w:pPr>
              <w:pBdr>
                <w:top w:val="none" w:sz="0" w:space="0" w:color="auto"/>
                <w:left w:val="none" w:sz="0" w:space="0" w:color="auto"/>
                <w:bottom w:val="none" w:sz="0" w:space="0" w:color="auto"/>
                <w:right w:val="none" w:sz="0" w:space="0" w:color="auto"/>
                <w:between w:val="none" w:sz="0" w:space="0" w:color="auto"/>
              </w:pBdr>
              <w:rPr>
                <w:color w:val="auto"/>
              </w:rPr>
            </w:pPr>
            <w:r>
              <w:rPr>
                <w:color w:val="auto"/>
              </w:rPr>
              <w:t>Commentaires/Recommandations</w:t>
            </w:r>
            <w:r w:rsidR="00E37774">
              <w:rPr>
                <w:color w:val="auto"/>
              </w:rPr>
              <w:t xml:space="preserve"> </w:t>
            </w:r>
          </w:p>
        </w:tc>
      </w:tr>
      <w:tr w:rsidR="00F40878" w14:paraId="284B1DFC" w14:textId="77777777" w:rsidTr="00E37774">
        <w:tc>
          <w:tcPr>
            <w:tcW w:w="385" w:type="dxa"/>
          </w:tcPr>
          <w:p w14:paraId="0BBDF7BC" w14:textId="77777777" w:rsidR="00F40878" w:rsidRDefault="00F40878" w:rsidP="00F40878">
            <w:pPr>
              <w:pBdr>
                <w:top w:val="none" w:sz="0" w:space="0" w:color="auto"/>
                <w:left w:val="none" w:sz="0" w:space="0" w:color="auto"/>
                <w:bottom w:val="none" w:sz="0" w:space="0" w:color="auto"/>
                <w:right w:val="none" w:sz="0" w:space="0" w:color="auto"/>
                <w:between w:val="none" w:sz="0" w:space="0" w:color="auto"/>
              </w:pBdr>
              <w:rPr>
                <w:color w:val="auto"/>
              </w:rPr>
            </w:pPr>
            <w:r>
              <w:rPr>
                <w:color w:val="auto"/>
              </w:rPr>
              <w:t>1</w:t>
            </w:r>
          </w:p>
        </w:tc>
        <w:tc>
          <w:tcPr>
            <w:tcW w:w="4468" w:type="dxa"/>
          </w:tcPr>
          <w:p w14:paraId="11D58DAA" w14:textId="7EBF5C3A" w:rsidR="00F40878" w:rsidRPr="004A7447" w:rsidRDefault="00F40878" w:rsidP="00555805">
            <w:pPr>
              <w:pBdr>
                <w:top w:val="none" w:sz="0" w:space="0" w:color="auto"/>
                <w:left w:val="none" w:sz="0" w:space="0" w:color="auto"/>
                <w:bottom w:val="none" w:sz="0" w:space="0" w:color="auto"/>
                <w:right w:val="none" w:sz="0" w:space="0" w:color="auto"/>
                <w:between w:val="none" w:sz="0" w:space="0" w:color="auto"/>
              </w:pBdr>
              <w:rPr>
                <w:color w:val="auto"/>
              </w:rPr>
            </w:pPr>
            <w:r>
              <w:rPr>
                <w:color w:val="auto"/>
              </w:rPr>
              <w:t>L’évaluation a été effectuée dans la semaine suivant l’identification/l’enregistrement (</w:t>
            </w:r>
            <w:r>
              <w:rPr>
                <w:color w:val="auto"/>
                <w:highlight w:val="white"/>
              </w:rPr>
              <w:t xml:space="preserve">ou conformément aux échéanciers convenus </w:t>
            </w:r>
            <w:r w:rsidR="00E37774">
              <w:rPr>
                <w:color w:val="auto"/>
                <w:highlight w:val="white"/>
              </w:rPr>
              <w:br/>
            </w:r>
            <w:r>
              <w:rPr>
                <w:color w:val="auto"/>
                <w:highlight w:val="white"/>
              </w:rPr>
              <w:t>dans le pays</w:t>
            </w:r>
            <w:r>
              <w:rPr>
                <w:color w:val="auto"/>
              </w:rPr>
              <w:t>)</w:t>
            </w:r>
          </w:p>
        </w:tc>
        <w:tc>
          <w:tcPr>
            <w:tcW w:w="962" w:type="dxa"/>
          </w:tcPr>
          <w:p w14:paraId="48A8663C" w14:textId="77777777" w:rsidR="00F40878" w:rsidRDefault="00F40878" w:rsidP="00F40878">
            <w:pPr>
              <w:pBdr>
                <w:top w:val="none" w:sz="0" w:space="0" w:color="auto"/>
                <w:left w:val="none" w:sz="0" w:space="0" w:color="auto"/>
                <w:bottom w:val="none" w:sz="0" w:space="0" w:color="auto"/>
                <w:right w:val="none" w:sz="0" w:space="0" w:color="auto"/>
                <w:between w:val="none" w:sz="0" w:space="0" w:color="auto"/>
              </w:pBdr>
              <w:rPr>
                <w:color w:val="auto"/>
              </w:rPr>
            </w:pPr>
          </w:p>
        </w:tc>
        <w:tc>
          <w:tcPr>
            <w:tcW w:w="3535" w:type="dxa"/>
          </w:tcPr>
          <w:p w14:paraId="7F66DD77" w14:textId="77777777" w:rsidR="00F40878" w:rsidRDefault="00F40878" w:rsidP="00F40878">
            <w:pPr>
              <w:pBdr>
                <w:top w:val="none" w:sz="0" w:space="0" w:color="auto"/>
                <w:left w:val="none" w:sz="0" w:space="0" w:color="auto"/>
                <w:bottom w:val="none" w:sz="0" w:space="0" w:color="auto"/>
                <w:right w:val="none" w:sz="0" w:space="0" w:color="auto"/>
                <w:between w:val="none" w:sz="0" w:space="0" w:color="auto"/>
              </w:pBdr>
              <w:rPr>
                <w:color w:val="auto"/>
              </w:rPr>
            </w:pPr>
          </w:p>
        </w:tc>
      </w:tr>
      <w:tr w:rsidR="00F40878" w14:paraId="07EDEBDA" w14:textId="77777777" w:rsidTr="00E37774">
        <w:tc>
          <w:tcPr>
            <w:tcW w:w="385" w:type="dxa"/>
          </w:tcPr>
          <w:p w14:paraId="64CA1AD8" w14:textId="77777777" w:rsidR="00F40878" w:rsidRDefault="00F40878" w:rsidP="00F40878">
            <w:pPr>
              <w:pBdr>
                <w:top w:val="none" w:sz="0" w:space="0" w:color="auto"/>
                <w:left w:val="none" w:sz="0" w:space="0" w:color="auto"/>
                <w:bottom w:val="none" w:sz="0" w:space="0" w:color="auto"/>
                <w:right w:val="none" w:sz="0" w:space="0" w:color="auto"/>
                <w:between w:val="none" w:sz="0" w:space="0" w:color="auto"/>
              </w:pBdr>
              <w:rPr>
                <w:color w:val="auto"/>
              </w:rPr>
            </w:pPr>
            <w:r>
              <w:rPr>
                <w:color w:val="auto"/>
              </w:rPr>
              <w:t>2</w:t>
            </w:r>
          </w:p>
        </w:tc>
        <w:tc>
          <w:tcPr>
            <w:tcW w:w="4468" w:type="dxa"/>
          </w:tcPr>
          <w:p w14:paraId="3874C98E" w14:textId="0E3A134E" w:rsidR="00F40878" w:rsidRPr="00E37774" w:rsidRDefault="00555805" w:rsidP="0010727F">
            <w:pPr>
              <w:pBdr>
                <w:top w:val="none" w:sz="0" w:space="0" w:color="auto"/>
                <w:left w:val="none" w:sz="0" w:space="0" w:color="auto"/>
                <w:bottom w:val="none" w:sz="0" w:space="0" w:color="auto"/>
                <w:right w:val="none" w:sz="0" w:space="0" w:color="auto"/>
                <w:between w:val="none" w:sz="0" w:space="0" w:color="auto"/>
              </w:pBdr>
              <w:rPr>
                <w:color w:val="auto"/>
                <w:spacing w:val="-2"/>
              </w:rPr>
            </w:pPr>
            <w:r w:rsidRPr="00E37774">
              <w:rPr>
                <w:color w:val="auto"/>
                <w:spacing w:val="-2"/>
              </w:rPr>
              <w:t>Le travailleur social a clairement identifié et décrit les problèmes de protection de l’enfant</w:t>
            </w:r>
          </w:p>
        </w:tc>
        <w:tc>
          <w:tcPr>
            <w:tcW w:w="962" w:type="dxa"/>
          </w:tcPr>
          <w:p w14:paraId="73651470" w14:textId="77777777" w:rsidR="00F40878" w:rsidRDefault="00F40878" w:rsidP="00F40878">
            <w:pPr>
              <w:pBdr>
                <w:top w:val="none" w:sz="0" w:space="0" w:color="auto"/>
                <w:left w:val="none" w:sz="0" w:space="0" w:color="auto"/>
                <w:bottom w:val="none" w:sz="0" w:space="0" w:color="auto"/>
                <w:right w:val="none" w:sz="0" w:space="0" w:color="auto"/>
                <w:between w:val="none" w:sz="0" w:space="0" w:color="auto"/>
              </w:pBdr>
              <w:rPr>
                <w:color w:val="auto"/>
              </w:rPr>
            </w:pPr>
          </w:p>
        </w:tc>
        <w:tc>
          <w:tcPr>
            <w:tcW w:w="3535" w:type="dxa"/>
          </w:tcPr>
          <w:p w14:paraId="07CE1450" w14:textId="77777777" w:rsidR="00F40878" w:rsidRDefault="00F40878" w:rsidP="00F40878">
            <w:pPr>
              <w:pBdr>
                <w:top w:val="none" w:sz="0" w:space="0" w:color="auto"/>
                <w:left w:val="none" w:sz="0" w:space="0" w:color="auto"/>
                <w:bottom w:val="none" w:sz="0" w:space="0" w:color="auto"/>
                <w:right w:val="none" w:sz="0" w:space="0" w:color="auto"/>
                <w:between w:val="none" w:sz="0" w:space="0" w:color="auto"/>
              </w:pBdr>
              <w:rPr>
                <w:color w:val="auto"/>
              </w:rPr>
            </w:pPr>
          </w:p>
        </w:tc>
      </w:tr>
      <w:tr w:rsidR="00F40878" w14:paraId="65B25FB0" w14:textId="77777777" w:rsidTr="00E37774">
        <w:tc>
          <w:tcPr>
            <w:tcW w:w="385" w:type="dxa"/>
          </w:tcPr>
          <w:p w14:paraId="4D7DB2CE" w14:textId="77777777" w:rsidR="00F40878" w:rsidRDefault="00F40878" w:rsidP="00F40878">
            <w:pPr>
              <w:pBdr>
                <w:top w:val="none" w:sz="0" w:space="0" w:color="auto"/>
                <w:left w:val="none" w:sz="0" w:space="0" w:color="auto"/>
                <w:bottom w:val="none" w:sz="0" w:space="0" w:color="auto"/>
                <w:right w:val="none" w:sz="0" w:space="0" w:color="auto"/>
                <w:between w:val="none" w:sz="0" w:space="0" w:color="auto"/>
              </w:pBdr>
              <w:rPr>
                <w:color w:val="auto"/>
              </w:rPr>
            </w:pPr>
            <w:r>
              <w:rPr>
                <w:color w:val="auto"/>
              </w:rPr>
              <w:t>3</w:t>
            </w:r>
          </w:p>
        </w:tc>
        <w:tc>
          <w:tcPr>
            <w:tcW w:w="4468" w:type="dxa"/>
          </w:tcPr>
          <w:p w14:paraId="6A4173E8" w14:textId="512473C1" w:rsidR="00F40878" w:rsidRPr="0010727F" w:rsidRDefault="00F40878" w:rsidP="001A2761">
            <w:pPr>
              <w:pBdr>
                <w:top w:val="none" w:sz="0" w:space="0" w:color="auto"/>
                <w:left w:val="none" w:sz="0" w:space="0" w:color="auto"/>
                <w:bottom w:val="none" w:sz="0" w:space="0" w:color="auto"/>
                <w:right w:val="none" w:sz="0" w:space="0" w:color="auto"/>
                <w:between w:val="none" w:sz="0" w:space="0" w:color="auto"/>
              </w:pBdr>
              <w:rPr>
                <w:color w:val="auto"/>
              </w:rPr>
            </w:pPr>
            <w:r>
              <w:rPr>
                <w:color w:val="auto"/>
              </w:rPr>
              <w:t>L’évaluation décrit de manière globale les besoins et les facteurs de protection pour l’enfant et sa famille</w:t>
            </w:r>
          </w:p>
        </w:tc>
        <w:tc>
          <w:tcPr>
            <w:tcW w:w="962" w:type="dxa"/>
          </w:tcPr>
          <w:p w14:paraId="6C087AC6" w14:textId="77777777" w:rsidR="00F40878" w:rsidRDefault="00F40878" w:rsidP="00F40878">
            <w:pPr>
              <w:pBdr>
                <w:top w:val="none" w:sz="0" w:space="0" w:color="auto"/>
                <w:left w:val="none" w:sz="0" w:space="0" w:color="auto"/>
                <w:bottom w:val="none" w:sz="0" w:space="0" w:color="auto"/>
                <w:right w:val="none" w:sz="0" w:space="0" w:color="auto"/>
                <w:between w:val="none" w:sz="0" w:space="0" w:color="auto"/>
              </w:pBdr>
              <w:rPr>
                <w:color w:val="auto"/>
              </w:rPr>
            </w:pPr>
          </w:p>
        </w:tc>
        <w:tc>
          <w:tcPr>
            <w:tcW w:w="3535" w:type="dxa"/>
          </w:tcPr>
          <w:p w14:paraId="1C5AE290" w14:textId="77777777" w:rsidR="00F40878" w:rsidRDefault="00F40878" w:rsidP="00F40878">
            <w:pPr>
              <w:pBdr>
                <w:top w:val="none" w:sz="0" w:space="0" w:color="auto"/>
                <w:left w:val="none" w:sz="0" w:space="0" w:color="auto"/>
                <w:bottom w:val="none" w:sz="0" w:space="0" w:color="auto"/>
                <w:right w:val="none" w:sz="0" w:space="0" w:color="auto"/>
                <w:between w:val="none" w:sz="0" w:space="0" w:color="auto"/>
              </w:pBdr>
              <w:rPr>
                <w:color w:val="auto"/>
              </w:rPr>
            </w:pPr>
          </w:p>
        </w:tc>
      </w:tr>
      <w:tr w:rsidR="004A7447" w14:paraId="11F26885" w14:textId="77777777" w:rsidTr="00E37774">
        <w:tc>
          <w:tcPr>
            <w:tcW w:w="385" w:type="dxa"/>
          </w:tcPr>
          <w:p w14:paraId="595FB0A5" w14:textId="0EDFFFFD" w:rsidR="004A7447" w:rsidRDefault="0010727F" w:rsidP="004A7447">
            <w:pPr>
              <w:pBdr>
                <w:top w:val="none" w:sz="0" w:space="0" w:color="auto"/>
                <w:left w:val="none" w:sz="0" w:space="0" w:color="auto"/>
                <w:bottom w:val="none" w:sz="0" w:space="0" w:color="auto"/>
                <w:right w:val="none" w:sz="0" w:space="0" w:color="auto"/>
                <w:between w:val="none" w:sz="0" w:space="0" w:color="auto"/>
              </w:pBdr>
              <w:rPr>
                <w:color w:val="auto"/>
              </w:rPr>
            </w:pPr>
            <w:r>
              <w:rPr>
                <w:color w:val="auto"/>
              </w:rPr>
              <w:t>4</w:t>
            </w:r>
          </w:p>
        </w:tc>
        <w:tc>
          <w:tcPr>
            <w:tcW w:w="4468" w:type="dxa"/>
          </w:tcPr>
          <w:p w14:paraId="47089F21" w14:textId="5042A5F9" w:rsidR="004A7447" w:rsidRPr="00E37774" w:rsidRDefault="02365596" w:rsidP="00555805">
            <w:pPr>
              <w:rPr>
                <w:spacing w:val="-2"/>
              </w:rPr>
            </w:pPr>
            <w:r w:rsidRPr="00E37774">
              <w:rPr>
                <w:spacing w:val="-2"/>
              </w:rPr>
              <w:t>La documentation du cas fournit des informations suffisantes permettant d’établir le niveau de priorité (faible, moyen ou haut risque)</w:t>
            </w:r>
          </w:p>
        </w:tc>
        <w:tc>
          <w:tcPr>
            <w:tcW w:w="962" w:type="dxa"/>
          </w:tcPr>
          <w:p w14:paraId="30CD9220" w14:textId="77777777" w:rsidR="004A7447" w:rsidRDefault="004A7447" w:rsidP="004A7447">
            <w:pPr>
              <w:pBdr>
                <w:top w:val="none" w:sz="0" w:space="0" w:color="auto"/>
                <w:left w:val="none" w:sz="0" w:space="0" w:color="auto"/>
                <w:bottom w:val="none" w:sz="0" w:space="0" w:color="auto"/>
                <w:right w:val="none" w:sz="0" w:space="0" w:color="auto"/>
                <w:between w:val="none" w:sz="0" w:space="0" w:color="auto"/>
              </w:pBdr>
              <w:rPr>
                <w:color w:val="auto"/>
              </w:rPr>
            </w:pPr>
          </w:p>
        </w:tc>
        <w:tc>
          <w:tcPr>
            <w:tcW w:w="3535" w:type="dxa"/>
          </w:tcPr>
          <w:p w14:paraId="596BA6FF" w14:textId="77777777" w:rsidR="004A7447" w:rsidRDefault="004A7447" w:rsidP="004A7447">
            <w:pPr>
              <w:pBdr>
                <w:top w:val="none" w:sz="0" w:space="0" w:color="auto"/>
                <w:left w:val="none" w:sz="0" w:space="0" w:color="auto"/>
                <w:bottom w:val="none" w:sz="0" w:space="0" w:color="auto"/>
                <w:right w:val="none" w:sz="0" w:space="0" w:color="auto"/>
                <w:between w:val="none" w:sz="0" w:space="0" w:color="auto"/>
              </w:pBdr>
              <w:rPr>
                <w:color w:val="auto"/>
              </w:rPr>
            </w:pPr>
          </w:p>
        </w:tc>
      </w:tr>
      <w:tr w:rsidR="004A7447" w14:paraId="4C36B331" w14:textId="77777777" w:rsidTr="00E37774">
        <w:tc>
          <w:tcPr>
            <w:tcW w:w="4853" w:type="dxa"/>
            <w:gridSpan w:val="2"/>
            <w:shd w:val="clear" w:color="auto" w:fill="DBDBDB" w:themeFill="accent3" w:themeFillTint="66"/>
          </w:tcPr>
          <w:p w14:paraId="4EBAAE24" w14:textId="561AB08B" w:rsidR="004A7447" w:rsidRDefault="004A7447" w:rsidP="004A7447">
            <w:pPr>
              <w:pBdr>
                <w:top w:val="none" w:sz="0" w:space="0" w:color="auto"/>
                <w:left w:val="none" w:sz="0" w:space="0" w:color="auto"/>
                <w:bottom w:val="none" w:sz="0" w:space="0" w:color="auto"/>
                <w:right w:val="none" w:sz="0" w:space="0" w:color="auto"/>
                <w:between w:val="none" w:sz="0" w:space="0" w:color="auto"/>
              </w:pBdr>
              <w:rPr>
                <w:color w:val="auto"/>
              </w:rPr>
            </w:pPr>
            <w:r>
              <w:rPr>
                <w:b/>
                <w:color w:val="auto"/>
              </w:rPr>
              <w:t>Plan de prise en charge</w:t>
            </w:r>
            <w:r w:rsidR="00E37774">
              <w:rPr>
                <w:b/>
                <w:color w:val="auto"/>
              </w:rPr>
              <w:t xml:space="preserve"> </w:t>
            </w:r>
          </w:p>
        </w:tc>
        <w:tc>
          <w:tcPr>
            <w:tcW w:w="962" w:type="dxa"/>
            <w:shd w:val="clear" w:color="auto" w:fill="DBDBDB" w:themeFill="accent3" w:themeFillTint="66"/>
          </w:tcPr>
          <w:p w14:paraId="6AB76807" w14:textId="2AE584E0" w:rsidR="004A7447" w:rsidRDefault="004A7447" w:rsidP="004A7447">
            <w:pPr>
              <w:pBdr>
                <w:top w:val="none" w:sz="0" w:space="0" w:color="auto"/>
                <w:left w:val="none" w:sz="0" w:space="0" w:color="auto"/>
                <w:bottom w:val="none" w:sz="0" w:space="0" w:color="auto"/>
                <w:right w:val="none" w:sz="0" w:space="0" w:color="auto"/>
                <w:between w:val="none" w:sz="0" w:space="0" w:color="auto"/>
              </w:pBdr>
              <w:rPr>
                <w:color w:val="auto"/>
              </w:rPr>
            </w:pPr>
            <w:r>
              <w:rPr>
                <w:color w:val="auto"/>
              </w:rPr>
              <w:t>O/N/SO</w:t>
            </w:r>
          </w:p>
        </w:tc>
        <w:tc>
          <w:tcPr>
            <w:tcW w:w="3535" w:type="dxa"/>
            <w:shd w:val="clear" w:color="auto" w:fill="DBDBDB" w:themeFill="accent3" w:themeFillTint="66"/>
          </w:tcPr>
          <w:p w14:paraId="191EC34A" w14:textId="14534353" w:rsidR="004A7447" w:rsidRDefault="004A7447" w:rsidP="004A7447">
            <w:pPr>
              <w:pBdr>
                <w:top w:val="none" w:sz="0" w:space="0" w:color="auto"/>
                <w:left w:val="none" w:sz="0" w:space="0" w:color="auto"/>
                <w:bottom w:val="none" w:sz="0" w:space="0" w:color="auto"/>
                <w:right w:val="none" w:sz="0" w:space="0" w:color="auto"/>
                <w:between w:val="none" w:sz="0" w:space="0" w:color="auto"/>
              </w:pBdr>
              <w:rPr>
                <w:color w:val="auto"/>
              </w:rPr>
            </w:pPr>
            <w:r>
              <w:rPr>
                <w:color w:val="auto"/>
              </w:rPr>
              <w:t>Commentaires/Recommandations</w:t>
            </w:r>
            <w:r w:rsidR="00E37774">
              <w:rPr>
                <w:color w:val="auto"/>
              </w:rPr>
              <w:t xml:space="preserve"> </w:t>
            </w:r>
          </w:p>
        </w:tc>
      </w:tr>
      <w:tr w:rsidR="004A7447" w14:paraId="62091AE8" w14:textId="77777777" w:rsidTr="00E37774">
        <w:tc>
          <w:tcPr>
            <w:tcW w:w="385" w:type="dxa"/>
          </w:tcPr>
          <w:p w14:paraId="69853950" w14:textId="056690F2" w:rsidR="004A7447" w:rsidRDefault="004A7447" w:rsidP="004A7447">
            <w:pPr>
              <w:pBdr>
                <w:top w:val="none" w:sz="0" w:space="0" w:color="auto"/>
                <w:left w:val="none" w:sz="0" w:space="0" w:color="auto"/>
                <w:bottom w:val="none" w:sz="0" w:space="0" w:color="auto"/>
                <w:right w:val="none" w:sz="0" w:space="0" w:color="auto"/>
                <w:between w:val="none" w:sz="0" w:space="0" w:color="auto"/>
              </w:pBdr>
              <w:rPr>
                <w:color w:val="auto"/>
              </w:rPr>
            </w:pPr>
            <w:r>
              <w:rPr>
                <w:color w:val="auto"/>
              </w:rPr>
              <w:t>1</w:t>
            </w:r>
          </w:p>
        </w:tc>
        <w:tc>
          <w:tcPr>
            <w:tcW w:w="4468" w:type="dxa"/>
          </w:tcPr>
          <w:p w14:paraId="36F49C16" w14:textId="57366493" w:rsidR="004A7447" w:rsidRDefault="004A7447" w:rsidP="004A7447">
            <w:pPr>
              <w:pBdr>
                <w:top w:val="none" w:sz="0" w:space="0" w:color="auto"/>
                <w:left w:val="none" w:sz="0" w:space="0" w:color="auto"/>
                <w:bottom w:val="none" w:sz="0" w:space="0" w:color="auto"/>
                <w:right w:val="none" w:sz="0" w:space="0" w:color="auto"/>
                <w:between w:val="none" w:sz="0" w:space="0" w:color="auto"/>
              </w:pBdr>
              <w:rPr>
                <w:color w:val="auto"/>
              </w:rPr>
            </w:pPr>
            <w:r>
              <w:rPr>
                <w:color w:val="auto"/>
              </w:rPr>
              <w:t>Le plan de prise en charge a été achevé dans un délai de 2 semaines à compter de la fin de l’évaluation</w:t>
            </w:r>
          </w:p>
        </w:tc>
        <w:tc>
          <w:tcPr>
            <w:tcW w:w="962" w:type="dxa"/>
          </w:tcPr>
          <w:p w14:paraId="6114D2A7" w14:textId="77777777" w:rsidR="004A7447" w:rsidRDefault="004A7447" w:rsidP="004A7447">
            <w:pPr>
              <w:pBdr>
                <w:top w:val="none" w:sz="0" w:space="0" w:color="auto"/>
                <w:left w:val="none" w:sz="0" w:space="0" w:color="auto"/>
                <w:bottom w:val="none" w:sz="0" w:space="0" w:color="auto"/>
                <w:right w:val="none" w:sz="0" w:space="0" w:color="auto"/>
                <w:between w:val="none" w:sz="0" w:space="0" w:color="auto"/>
              </w:pBdr>
              <w:rPr>
                <w:color w:val="auto"/>
              </w:rPr>
            </w:pPr>
          </w:p>
        </w:tc>
        <w:tc>
          <w:tcPr>
            <w:tcW w:w="3535" w:type="dxa"/>
          </w:tcPr>
          <w:p w14:paraId="76E248A0" w14:textId="77777777" w:rsidR="004A7447" w:rsidRDefault="004A7447" w:rsidP="004A7447">
            <w:pPr>
              <w:pBdr>
                <w:top w:val="none" w:sz="0" w:space="0" w:color="auto"/>
                <w:left w:val="none" w:sz="0" w:space="0" w:color="auto"/>
                <w:bottom w:val="none" w:sz="0" w:space="0" w:color="auto"/>
                <w:right w:val="none" w:sz="0" w:space="0" w:color="auto"/>
                <w:between w:val="none" w:sz="0" w:space="0" w:color="auto"/>
              </w:pBdr>
              <w:rPr>
                <w:color w:val="auto"/>
              </w:rPr>
            </w:pPr>
          </w:p>
        </w:tc>
      </w:tr>
      <w:tr w:rsidR="004A7447" w14:paraId="7E928D07" w14:textId="77777777" w:rsidTr="00E37774">
        <w:tc>
          <w:tcPr>
            <w:tcW w:w="385" w:type="dxa"/>
          </w:tcPr>
          <w:p w14:paraId="125A2EFE" w14:textId="5CBD3ED5" w:rsidR="004A7447" w:rsidRDefault="004A7447" w:rsidP="004A7447">
            <w:pPr>
              <w:pBdr>
                <w:top w:val="none" w:sz="0" w:space="0" w:color="auto"/>
                <w:left w:val="none" w:sz="0" w:space="0" w:color="auto"/>
                <w:bottom w:val="none" w:sz="0" w:space="0" w:color="auto"/>
                <w:right w:val="none" w:sz="0" w:space="0" w:color="auto"/>
                <w:between w:val="none" w:sz="0" w:space="0" w:color="auto"/>
              </w:pBdr>
              <w:rPr>
                <w:color w:val="auto"/>
              </w:rPr>
            </w:pPr>
            <w:r>
              <w:rPr>
                <w:color w:val="auto"/>
              </w:rPr>
              <w:t>2</w:t>
            </w:r>
          </w:p>
        </w:tc>
        <w:tc>
          <w:tcPr>
            <w:tcW w:w="4468" w:type="dxa"/>
          </w:tcPr>
          <w:p w14:paraId="28C991A7" w14:textId="7AA39A2D" w:rsidR="004A7447" w:rsidRDefault="004A7447" w:rsidP="00555805">
            <w:pPr>
              <w:pBdr>
                <w:top w:val="none" w:sz="0" w:space="0" w:color="auto"/>
                <w:left w:val="none" w:sz="0" w:space="0" w:color="auto"/>
                <w:bottom w:val="none" w:sz="0" w:space="0" w:color="auto"/>
                <w:right w:val="none" w:sz="0" w:space="0" w:color="auto"/>
                <w:between w:val="none" w:sz="0" w:space="0" w:color="auto"/>
              </w:pBdr>
              <w:rPr>
                <w:color w:val="auto"/>
              </w:rPr>
            </w:pPr>
            <w:r>
              <w:rPr>
                <w:color w:val="auto"/>
              </w:rPr>
              <w:t>Les actions du plan de prise en charge répondent aux besoins et aux risques identifiés</w:t>
            </w:r>
          </w:p>
        </w:tc>
        <w:tc>
          <w:tcPr>
            <w:tcW w:w="962" w:type="dxa"/>
          </w:tcPr>
          <w:p w14:paraId="57E5832A" w14:textId="77777777" w:rsidR="004A7447" w:rsidRDefault="004A7447" w:rsidP="004A7447">
            <w:pPr>
              <w:pBdr>
                <w:top w:val="none" w:sz="0" w:space="0" w:color="auto"/>
                <w:left w:val="none" w:sz="0" w:space="0" w:color="auto"/>
                <w:bottom w:val="none" w:sz="0" w:space="0" w:color="auto"/>
                <w:right w:val="none" w:sz="0" w:space="0" w:color="auto"/>
                <w:between w:val="none" w:sz="0" w:space="0" w:color="auto"/>
              </w:pBdr>
              <w:rPr>
                <w:color w:val="auto"/>
              </w:rPr>
            </w:pPr>
          </w:p>
        </w:tc>
        <w:tc>
          <w:tcPr>
            <w:tcW w:w="3535" w:type="dxa"/>
          </w:tcPr>
          <w:p w14:paraId="1AE5D7BF" w14:textId="77777777" w:rsidR="004A7447" w:rsidRDefault="004A7447" w:rsidP="004A7447">
            <w:pPr>
              <w:pBdr>
                <w:top w:val="none" w:sz="0" w:space="0" w:color="auto"/>
                <w:left w:val="none" w:sz="0" w:space="0" w:color="auto"/>
                <w:bottom w:val="none" w:sz="0" w:space="0" w:color="auto"/>
                <w:right w:val="none" w:sz="0" w:space="0" w:color="auto"/>
                <w:between w:val="none" w:sz="0" w:space="0" w:color="auto"/>
              </w:pBdr>
              <w:rPr>
                <w:color w:val="auto"/>
              </w:rPr>
            </w:pPr>
          </w:p>
        </w:tc>
      </w:tr>
      <w:tr w:rsidR="004A7447" w14:paraId="0995502A" w14:textId="77777777" w:rsidTr="00E37774">
        <w:tc>
          <w:tcPr>
            <w:tcW w:w="385" w:type="dxa"/>
          </w:tcPr>
          <w:p w14:paraId="57395328" w14:textId="6457B7CC" w:rsidR="004A7447" w:rsidRDefault="004A7447" w:rsidP="00725717">
            <w:pPr>
              <w:pBdr>
                <w:top w:val="none" w:sz="0" w:space="0" w:color="auto"/>
                <w:left w:val="none" w:sz="0" w:space="0" w:color="auto"/>
                <w:bottom w:val="none" w:sz="0" w:space="0" w:color="auto"/>
                <w:right w:val="none" w:sz="0" w:space="0" w:color="auto"/>
                <w:between w:val="none" w:sz="0" w:space="0" w:color="auto"/>
              </w:pBdr>
              <w:rPr>
                <w:color w:val="auto"/>
              </w:rPr>
            </w:pPr>
            <w:r>
              <w:rPr>
                <w:color w:val="auto"/>
              </w:rPr>
              <w:lastRenderedPageBreak/>
              <w:t xml:space="preserve">3 </w:t>
            </w:r>
          </w:p>
        </w:tc>
        <w:tc>
          <w:tcPr>
            <w:tcW w:w="4468" w:type="dxa"/>
          </w:tcPr>
          <w:p w14:paraId="4D380B0F" w14:textId="44B42DB4" w:rsidR="004A7447" w:rsidRDefault="004A7447" w:rsidP="00634983">
            <w:pPr>
              <w:pBdr>
                <w:top w:val="none" w:sz="0" w:space="0" w:color="auto"/>
                <w:left w:val="none" w:sz="0" w:space="0" w:color="auto"/>
                <w:bottom w:val="none" w:sz="0" w:space="0" w:color="auto"/>
                <w:right w:val="none" w:sz="0" w:space="0" w:color="auto"/>
                <w:between w:val="none" w:sz="0" w:space="0" w:color="auto"/>
              </w:pBdr>
              <w:rPr>
                <w:color w:val="auto"/>
              </w:rPr>
            </w:pPr>
            <w:r>
              <w:t xml:space="preserve">Le plan de prise en charge a été élaboré avec l’enfant et le tuteur </w:t>
            </w:r>
          </w:p>
        </w:tc>
        <w:tc>
          <w:tcPr>
            <w:tcW w:w="962" w:type="dxa"/>
          </w:tcPr>
          <w:p w14:paraId="7A0D1D01" w14:textId="77777777" w:rsidR="004A7447" w:rsidRDefault="004A7447" w:rsidP="004A7447">
            <w:pPr>
              <w:pBdr>
                <w:top w:val="none" w:sz="0" w:space="0" w:color="auto"/>
                <w:left w:val="none" w:sz="0" w:space="0" w:color="auto"/>
                <w:bottom w:val="none" w:sz="0" w:space="0" w:color="auto"/>
                <w:right w:val="none" w:sz="0" w:space="0" w:color="auto"/>
                <w:between w:val="none" w:sz="0" w:space="0" w:color="auto"/>
              </w:pBdr>
              <w:rPr>
                <w:color w:val="auto"/>
              </w:rPr>
            </w:pPr>
          </w:p>
        </w:tc>
        <w:tc>
          <w:tcPr>
            <w:tcW w:w="3535" w:type="dxa"/>
          </w:tcPr>
          <w:p w14:paraId="641EB868" w14:textId="77777777" w:rsidR="004A7447" w:rsidRDefault="004A7447" w:rsidP="004A7447">
            <w:pPr>
              <w:pBdr>
                <w:top w:val="none" w:sz="0" w:space="0" w:color="auto"/>
                <w:left w:val="none" w:sz="0" w:space="0" w:color="auto"/>
                <w:bottom w:val="none" w:sz="0" w:space="0" w:color="auto"/>
                <w:right w:val="none" w:sz="0" w:space="0" w:color="auto"/>
                <w:between w:val="none" w:sz="0" w:space="0" w:color="auto"/>
              </w:pBdr>
              <w:rPr>
                <w:color w:val="auto"/>
              </w:rPr>
            </w:pPr>
          </w:p>
        </w:tc>
      </w:tr>
      <w:tr w:rsidR="004A7447" w14:paraId="27C3D28A" w14:textId="77777777" w:rsidTr="00E37774">
        <w:tc>
          <w:tcPr>
            <w:tcW w:w="385" w:type="dxa"/>
          </w:tcPr>
          <w:p w14:paraId="403121B1" w14:textId="242388E5" w:rsidR="004A7447" w:rsidRDefault="004A7447" w:rsidP="004A7447">
            <w:pPr>
              <w:pBdr>
                <w:top w:val="none" w:sz="0" w:space="0" w:color="auto"/>
                <w:left w:val="none" w:sz="0" w:space="0" w:color="auto"/>
                <w:bottom w:val="none" w:sz="0" w:space="0" w:color="auto"/>
                <w:right w:val="none" w:sz="0" w:space="0" w:color="auto"/>
                <w:between w:val="none" w:sz="0" w:space="0" w:color="auto"/>
              </w:pBdr>
              <w:rPr>
                <w:color w:val="auto"/>
              </w:rPr>
            </w:pPr>
            <w:r>
              <w:rPr>
                <w:color w:val="auto"/>
              </w:rPr>
              <w:t>4</w:t>
            </w:r>
          </w:p>
        </w:tc>
        <w:tc>
          <w:tcPr>
            <w:tcW w:w="4468" w:type="dxa"/>
          </w:tcPr>
          <w:p w14:paraId="37E65340" w14:textId="7A1344BC" w:rsidR="004A7447" w:rsidRDefault="004A7447" w:rsidP="008557A6">
            <w:pPr>
              <w:pBdr>
                <w:top w:val="none" w:sz="0" w:space="0" w:color="auto"/>
                <w:left w:val="none" w:sz="0" w:space="0" w:color="auto"/>
                <w:bottom w:val="none" w:sz="0" w:space="0" w:color="auto"/>
                <w:right w:val="none" w:sz="0" w:space="0" w:color="auto"/>
                <w:between w:val="none" w:sz="0" w:space="0" w:color="auto"/>
              </w:pBdr>
              <w:rPr>
                <w:color w:val="auto"/>
              </w:rPr>
            </w:pPr>
            <w:r>
              <w:rPr>
                <w:color w:val="auto"/>
              </w:rPr>
              <w:t>Le plan de prise en charge identifie clairement les délais convenus et les personnes en charge de chaque action</w:t>
            </w:r>
          </w:p>
        </w:tc>
        <w:tc>
          <w:tcPr>
            <w:tcW w:w="962" w:type="dxa"/>
          </w:tcPr>
          <w:p w14:paraId="1A1490D3" w14:textId="77777777" w:rsidR="004A7447" w:rsidRDefault="004A7447" w:rsidP="004A7447">
            <w:pPr>
              <w:pBdr>
                <w:top w:val="none" w:sz="0" w:space="0" w:color="auto"/>
                <w:left w:val="none" w:sz="0" w:space="0" w:color="auto"/>
                <w:bottom w:val="none" w:sz="0" w:space="0" w:color="auto"/>
                <w:right w:val="none" w:sz="0" w:space="0" w:color="auto"/>
                <w:between w:val="none" w:sz="0" w:space="0" w:color="auto"/>
              </w:pBdr>
              <w:rPr>
                <w:color w:val="auto"/>
              </w:rPr>
            </w:pPr>
          </w:p>
        </w:tc>
        <w:tc>
          <w:tcPr>
            <w:tcW w:w="3535" w:type="dxa"/>
          </w:tcPr>
          <w:p w14:paraId="2204A893" w14:textId="77777777" w:rsidR="004A7447" w:rsidRDefault="004A7447" w:rsidP="004A7447">
            <w:pPr>
              <w:pBdr>
                <w:top w:val="none" w:sz="0" w:space="0" w:color="auto"/>
                <w:left w:val="none" w:sz="0" w:space="0" w:color="auto"/>
                <w:bottom w:val="none" w:sz="0" w:space="0" w:color="auto"/>
                <w:right w:val="none" w:sz="0" w:space="0" w:color="auto"/>
                <w:between w:val="none" w:sz="0" w:space="0" w:color="auto"/>
              </w:pBdr>
              <w:rPr>
                <w:color w:val="auto"/>
              </w:rPr>
            </w:pPr>
          </w:p>
        </w:tc>
      </w:tr>
      <w:tr w:rsidR="004A7447" w14:paraId="221F3AC1" w14:textId="77777777" w:rsidTr="00E37774">
        <w:tc>
          <w:tcPr>
            <w:tcW w:w="4853" w:type="dxa"/>
            <w:gridSpan w:val="2"/>
            <w:shd w:val="clear" w:color="auto" w:fill="DBDBDB" w:themeFill="accent3" w:themeFillTint="66"/>
          </w:tcPr>
          <w:p w14:paraId="67C41FAE" w14:textId="44498CFB" w:rsidR="004A7447" w:rsidRDefault="0075110A" w:rsidP="004A7447">
            <w:pPr>
              <w:pBdr>
                <w:top w:val="none" w:sz="0" w:space="0" w:color="auto"/>
                <w:left w:val="none" w:sz="0" w:space="0" w:color="auto"/>
                <w:bottom w:val="none" w:sz="0" w:space="0" w:color="auto"/>
                <w:right w:val="none" w:sz="0" w:space="0" w:color="auto"/>
                <w:between w:val="none" w:sz="0" w:space="0" w:color="auto"/>
              </w:pBdr>
              <w:rPr>
                <w:color w:val="auto"/>
              </w:rPr>
            </w:pPr>
            <w:r>
              <w:rPr>
                <w:b/>
                <w:color w:val="auto"/>
              </w:rPr>
              <w:t xml:space="preserve">Mise en œuvre du plan de prise en charge </w:t>
            </w:r>
          </w:p>
        </w:tc>
        <w:tc>
          <w:tcPr>
            <w:tcW w:w="962" w:type="dxa"/>
            <w:shd w:val="clear" w:color="auto" w:fill="DBDBDB" w:themeFill="accent3" w:themeFillTint="66"/>
          </w:tcPr>
          <w:p w14:paraId="6A004C5F" w14:textId="3DABFF82" w:rsidR="004A7447" w:rsidRDefault="004A7447" w:rsidP="004A7447">
            <w:pPr>
              <w:pBdr>
                <w:top w:val="none" w:sz="0" w:space="0" w:color="auto"/>
                <w:left w:val="none" w:sz="0" w:space="0" w:color="auto"/>
                <w:bottom w:val="none" w:sz="0" w:space="0" w:color="auto"/>
                <w:right w:val="none" w:sz="0" w:space="0" w:color="auto"/>
                <w:between w:val="none" w:sz="0" w:space="0" w:color="auto"/>
              </w:pBdr>
              <w:rPr>
                <w:color w:val="auto"/>
              </w:rPr>
            </w:pPr>
            <w:r>
              <w:rPr>
                <w:color w:val="auto"/>
              </w:rPr>
              <w:t>O/N/SO</w:t>
            </w:r>
          </w:p>
        </w:tc>
        <w:tc>
          <w:tcPr>
            <w:tcW w:w="3535" w:type="dxa"/>
            <w:shd w:val="clear" w:color="auto" w:fill="DBDBDB" w:themeFill="accent3" w:themeFillTint="66"/>
          </w:tcPr>
          <w:p w14:paraId="287EC383" w14:textId="1924261A" w:rsidR="004A7447" w:rsidRDefault="004A7447" w:rsidP="004A7447">
            <w:pPr>
              <w:pBdr>
                <w:top w:val="none" w:sz="0" w:space="0" w:color="auto"/>
                <w:left w:val="none" w:sz="0" w:space="0" w:color="auto"/>
                <w:bottom w:val="none" w:sz="0" w:space="0" w:color="auto"/>
                <w:right w:val="none" w:sz="0" w:space="0" w:color="auto"/>
                <w:between w:val="none" w:sz="0" w:space="0" w:color="auto"/>
              </w:pBdr>
              <w:rPr>
                <w:color w:val="auto"/>
              </w:rPr>
            </w:pPr>
            <w:r>
              <w:rPr>
                <w:color w:val="auto"/>
              </w:rPr>
              <w:t>Commentaires/Recommandations</w:t>
            </w:r>
            <w:r w:rsidR="00E37774">
              <w:rPr>
                <w:color w:val="auto"/>
              </w:rPr>
              <w:t xml:space="preserve"> </w:t>
            </w:r>
          </w:p>
        </w:tc>
      </w:tr>
      <w:tr w:rsidR="0075110A" w14:paraId="10C99502" w14:textId="77777777" w:rsidTr="00E37774">
        <w:tc>
          <w:tcPr>
            <w:tcW w:w="385" w:type="dxa"/>
          </w:tcPr>
          <w:p w14:paraId="0167240E" w14:textId="236DF56B" w:rsidR="0075110A" w:rsidRDefault="0075110A" w:rsidP="0075110A">
            <w:pPr>
              <w:pBdr>
                <w:top w:val="none" w:sz="0" w:space="0" w:color="auto"/>
                <w:left w:val="none" w:sz="0" w:space="0" w:color="auto"/>
                <w:bottom w:val="none" w:sz="0" w:space="0" w:color="auto"/>
                <w:right w:val="none" w:sz="0" w:space="0" w:color="auto"/>
                <w:between w:val="none" w:sz="0" w:space="0" w:color="auto"/>
              </w:pBdr>
              <w:rPr>
                <w:color w:val="auto"/>
              </w:rPr>
            </w:pPr>
            <w:r>
              <w:rPr>
                <w:color w:val="auto"/>
              </w:rPr>
              <w:t>1</w:t>
            </w:r>
          </w:p>
        </w:tc>
        <w:tc>
          <w:tcPr>
            <w:tcW w:w="4468" w:type="dxa"/>
          </w:tcPr>
          <w:p w14:paraId="6CDED89E" w14:textId="31A9B5B4" w:rsidR="0075110A" w:rsidRDefault="02365596" w:rsidP="02365596">
            <w:pPr>
              <w:pBdr>
                <w:top w:val="none" w:sz="0" w:space="0" w:color="auto"/>
                <w:left w:val="none" w:sz="0" w:space="0" w:color="auto"/>
                <w:bottom w:val="none" w:sz="0" w:space="0" w:color="auto"/>
                <w:right w:val="none" w:sz="0" w:space="0" w:color="auto"/>
                <w:between w:val="none" w:sz="0" w:space="0" w:color="auto"/>
              </w:pBdr>
              <w:rPr>
                <w:color w:val="auto"/>
              </w:rPr>
            </w:pPr>
            <w:r>
              <w:t>Les enfants et les familles ont été orientés vers les services compétents avec le consentement ou l’accord éclairé des enfants et des tuteurs, dans le respect des principes de confidentialité</w:t>
            </w:r>
            <w:r w:rsidR="00E37774">
              <w:t xml:space="preserve"> </w:t>
            </w:r>
          </w:p>
        </w:tc>
        <w:tc>
          <w:tcPr>
            <w:tcW w:w="962" w:type="dxa"/>
          </w:tcPr>
          <w:p w14:paraId="3C2913B2" w14:textId="77777777" w:rsidR="0075110A" w:rsidRDefault="0075110A" w:rsidP="0075110A">
            <w:pPr>
              <w:pBdr>
                <w:top w:val="none" w:sz="0" w:space="0" w:color="auto"/>
                <w:left w:val="none" w:sz="0" w:space="0" w:color="auto"/>
                <w:bottom w:val="none" w:sz="0" w:space="0" w:color="auto"/>
                <w:right w:val="none" w:sz="0" w:space="0" w:color="auto"/>
                <w:between w:val="none" w:sz="0" w:space="0" w:color="auto"/>
              </w:pBdr>
              <w:rPr>
                <w:color w:val="auto"/>
              </w:rPr>
            </w:pPr>
          </w:p>
        </w:tc>
        <w:tc>
          <w:tcPr>
            <w:tcW w:w="3535" w:type="dxa"/>
          </w:tcPr>
          <w:p w14:paraId="0EE56111" w14:textId="77777777" w:rsidR="0075110A" w:rsidRDefault="0075110A" w:rsidP="0075110A">
            <w:pPr>
              <w:pBdr>
                <w:top w:val="none" w:sz="0" w:space="0" w:color="auto"/>
                <w:left w:val="none" w:sz="0" w:space="0" w:color="auto"/>
                <w:bottom w:val="none" w:sz="0" w:space="0" w:color="auto"/>
                <w:right w:val="none" w:sz="0" w:space="0" w:color="auto"/>
                <w:between w:val="none" w:sz="0" w:space="0" w:color="auto"/>
              </w:pBdr>
              <w:rPr>
                <w:color w:val="auto"/>
              </w:rPr>
            </w:pPr>
          </w:p>
        </w:tc>
      </w:tr>
      <w:tr w:rsidR="0075110A" w14:paraId="69C3F033" w14:textId="77777777" w:rsidTr="00E37774">
        <w:tc>
          <w:tcPr>
            <w:tcW w:w="385" w:type="dxa"/>
          </w:tcPr>
          <w:p w14:paraId="20661A50" w14:textId="4C6CCCB5" w:rsidR="0075110A" w:rsidRDefault="0075110A" w:rsidP="0075110A">
            <w:pPr>
              <w:pBdr>
                <w:top w:val="none" w:sz="0" w:space="0" w:color="auto"/>
                <w:left w:val="none" w:sz="0" w:space="0" w:color="auto"/>
                <w:bottom w:val="none" w:sz="0" w:space="0" w:color="auto"/>
                <w:right w:val="none" w:sz="0" w:space="0" w:color="auto"/>
                <w:between w:val="none" w:sz="0" w:space="0" w:color="auto"/>
              </w:pBdr>
              <w:rPr>
                <w:color w:val="auto"/>
              </w:rPr>
            </w:pPr>
            <w:r>
              <w:rPr>
                <w:color w:val="auto"/>
              </w:rPr>
              <w:t>2</w:t>
            </w:r>
          </w:p>
        </w:tc>
        <w:tc>
          <w:tcPr>
            <w:tcW w:w="4468" w:type="dxa"/>
          </w:tcPr>
          <w:p w14:paraId="080C2577" w14:textId="30C01A27" w:rsidR="0075110A" w:rsidRDefault="0075110A" w:rsidP="00555805">
            <w:pPr>
              <w:pBdr>
                <w:top w:val="none" w:sz="0" w:space="0" w:color="auto"/>
                <w:left w:val="none" w:sz="0" w:space="0" w:color="auto"/>
                <w:bottom w:val="none" w:sz="0" w:space="0" w:color="auto"/>
                <w:right w:val="none" w:sz="0" w:space="0" w:color="auto"/>
                <w:between w:val="none" w:sz="0" w:space="0" w:color="auto"/>
              </w:pBdr>
              <w:rPr>
                <w:color w:val="auto"/>
              </w:rPr>
            </w:pPr>
            <w:r>
              <w:rPr>
                <w:color w:val="auto"/>
              </w:rPr>
              <w:t>Les orientations ont été documentées selon les actions priorita</w:t>
            </w:r>
            <w:r w:rsidR="00E37774">
              <w:rPr>
                <w:color w:val="auto"/>
              </w:rPr>
              <w:t>ires du plan de prise en charge</w:t>
            </w:r>
          </w:p>
        </w:tc>
        <w:tc>
          <w:tcPr>
            <w:tcW w:w="962" w:type="dxa"/>
          </w:tcPr>
          <w:p w14:paraId="5505F4C3" w14:textId="77777777" w:rsidR="0075110A" w:rsidRDefault="0075110A" w:rsidP="0075110A">
            <w:pPr>
              <w:pBdr>
                <w:top w:val="none" w:sz="0" w:space="0" w:color="auto"/>
                <w:left w:val="none" w:sz="0" w:space="0" w:color="auto"/>
                <w:bottom w:val="none" w:sz="0" w:space="0" w:color="auto"/>
                <w:right w:val="none" w:sz="0" w:space="0" w:color="auto"/>
                <w:between w:val="none" w:sz="0" w:space="0" w:color="auto"/>
              </w:pBdr>
              <w:rPr>
                <w:color w:val="auto"/>
              </w:rPr>
            </w:pPr>
          </w:p>
        </w:tc>
        <w:tc>
          <w:tcPr>
            <w:tcW w:w="3535" w:type="dxa"/>
          </w:tcPr>
          <w:p w14:paraId="608BAEF6" w14:textId="77777777" w:rsidR="0075110A" w:rsidRDefault="0075110A" w:rsidP="0075110A">
            <w:pPr>
              <w:pBdr>
                <w:top w:val="none" w:sz="0" w:space="0" w:color="auto"/>
                <w:left w:val="none" w:sz="0" w:space="0" w:color="auto"/>
                <w:bottom w:val="none" w:sz="0" w:space="0" w:color="auto"/>
                <w:right w:val="none" w:sz="0" w:space="0" w:color="auto"/>
                <w:between w:val="none" w:sz="0" w:space="0" w:color="auto"/>
              </w:pBdr>
              <w:rPr>
                <w:color w:val="auto"/>
              </w:rPr>
            </w:pPr>
          </w:p>
        </w:tc>
      </w:tr>
      <w:tr w:rsidR="0075110A" w14:paraId="28F1EF68" w14:textId="77777777" w:rsidTr="00E37774">
        <w:tc>
          <w:tcPr>
            <w:tcW w:w="385" w:type="dxa"/>
          </w:tcPr>
          <w:p w14:paraId="1CE2D6C1" w14:textId="1FBC6FED" w:rsidR="0075110A" w:rsidRDefault="0075110A" w:rsidP="0075110A">
            <w:pPr>
              <w:pBdr>
                <w:top w:val="none" w:sz="0" w:space="0" w:color="auto"/>
                <w:left w:val="none" w:sz="0" w:space="0" w:color="auto"/>
                <w:bottom w:val="none" w:sz="0" w:space="0" w:color="auto"/>
                <w:right w:val="none" w:sz="0" w:space="0" w:color="auto"/>
                <w:between w:val="none" w:sz="0" w:space="0" w:color="auto"/>
              </w:pBdr>
              <w:rPr>
                <w:color w:val="auto"/>
              </w:rPr>
            </w:pPr>
            <w:r>
              <w:rPr>
                <w:color w:val="auto"/>
              </w:rPr>
              <w:t>3</w:t>
            </w:r>
          </w:p>
        </w:tc>
        <w:tc>
          <w:tcPr>
            <w:tcW w:w="4468" w:type="dxa"/>
          </w:tcPr>
          <w:p w14:paraId="4555781D" w14:textId="7D538B21" w:rsidR="0075110A" w:rsidRDefault="0075110A" w:rsidP="00555805">
            <w:pPr>
              <w:pBdr>
                <w:top w:val="none" w:sz="0" w:space="0" w:color="auto"/>
                <w:left w:val="none" w:sz="0" w:space="0" w:color="auto"/>
                <w:bottom w:val="none" w:sz="0" w:space="0" w:color="auto"/>
                <w:right w:val="none" w:sz="0" w:space="0" w:color="auto"/>
                <w:between w:val="none" w:sz="0" w:space="0" w:color="auto"/>
              </w:pBdr>
              <w:rPr>
                <w:color w:val="auto"/>
              </w:rPr>
            </w:pPr>
            <w:r>
              <w:t>Les services directs ont été dispensés conformément au plan de prise en charge</w:t>
            </w:r>
          </w:p>
        </w:tc>
        <w:tc>
          <w:tcPr>
            <w:tcW w:w="962" w:type="dxa"/>
          </w:tcPr>
          <w:p w14:paraId="7AEDCDBE" w14:textId="77777777" w:rsidR="0075110A" w:rsidRDefault="0075110A" w:rsidP="0075110A">
            <w:pPr>
              <w:pBdr>
                <w:top w:val="none" w:sz="0" w:space="0" w:color="auto"/>
                <w:left w:val="none" w:sz="0" w:space="0" w:color="auto"/>
                <w:bottom w:val="none" w:sz="0" w:space="0" w:color="auto"/>
                <w:right w:val="none" w:sz="0" w:space="0" w:color="auto"/>
                <w:between w:val="none" w:sz="0" w:space="0" w:color="auto"/>
              </w:pBdr>
              <w:rPr>
                <w:color w:val="auto"/>
              </w:rPr>
            </w:pPr>
          </w:p>
        </w:tc>
        <w:tc>
          <w:tcPr>
            <w:tcW w:w="3535" w:type="dxa"/>
          </w:tcPr>
          <w:p w14:paraId="0FFAF0BB" w14:textId="77777777" w:rsidR="0075110A" w:rsidRDefault="0075110A" w:rsidP="0075110A">
            <w:pPr>
              <w:pBdr>
                <w:top w:val="none" w:sz="0" w:space="0" w:color="auto"/>
                <w:left w:val="none" w:sz="0" w:space="0" w:color="auto"/>
                <w:bottom w:val="none" w:sz="0" w:space="0" w:color="auto"/>
                <w:right w:val="none" w:sz="0" w:space="0" w:color="auto"/>
                <w:between w:val="none" w:sz="0" w:space="0" w:color="auto"/>
              </w:pBdr>
              <w:rPr>
                <w:color w:val="auto"/>
              </w:rPr>
            </w:pPr>
          </w:p>
        </w:tc>
      </w:tr>
      <w:tr w:rsidR="0075110A" w14:paraId="5B0D0FCD" w14:textId="77777777" w:rsidTr="00E37774">
        <w:tc>
          <w:tcPr>
            <w:tcW w:w="4853" w:type="dxa"/>
            <w:gridSpan w:val="2"/>
            <w:shd w:val="clear" w:color="auto" w:fill="DBDBDB" w:themeFill="accent3" w:themeFillTint="66"/>
          </w:tcPr>
          <w:p w14:paraId="3D6F6C92" w14:textId="26ACFF98" w:rsidR="0075110A" w:rsidRDefault="0075110A" w:rsidP="0075110A">
            <w:pPr>
              <w:pBdr>
                <w:top w:val="none" w:sz="0" w:space="0" w:color="auto"/>
                <w:left w:val="none" w:sz="0" w:space="0" w:color="auto"/>
                <w:bottom w:val="none" w:sz="0" w:space="0" w:color="auto"/>
                <w:right w:val="none" w:sz="0" w:space="0" w:color="auto"/>
                <w:between w:val="none" w:sz="0" w:space="0" w:color="auto"/>
              </w:pBdr>
              <w:rPr>
                <w:color w:val="auto"/>
              </w:rPr>
            </w:pPr>
            <w:r>
              <w:rPr>
                <w:b/>
                <w:color w:val="auto"/>
              </w:rPr>
              <w:t>Suivi et examen</w:t>
            </w:r>
          </w:p>
        </w:tc>
        <w:tc>
          <w:tcPr>
            <w:tcW w:w="962" w:type="dxa"/>
            <w:shd w:val="clear" w:color="auto" w:fill="DBDBDB" w:themeFill="accent3" w:themeFillTint="66"/>
          </w:tcPr>
          <w:p w14:paraId="76A4E2DF" w14:textId="700A6B14" w:rsidR="0075110A" w:rsidRDefault="0075110A" w:rsidP="0075110A">
            <w:pPr>
              <w:pBdr>
                <w:top w:val="none" w:sz="0" w:space="0" w:color="auto"/>
                <w:left w:val="none" w:sz="0" w:space="0" w:color="auto"/>
                <w:bottom w:val="none" w:sz="0" w:space="0" w:color="auto"/>
                <w:right w:val="none" w:sz="0" w:space="0" w:color="auto"/>
                <w:between w:val="none" w:sz="0" w:space="0" w:color="auto"/>
              </w:pBdr>
              <w:rPr>
                <w:color w:val="auto"/>
              </w:rPr>
            </w:pPr>
            <w:r>
              <w:rPr>
                <w:color w:val="auto"/>
              </w:rPr>
              <w:t>O/N/SO</w:t>
            </w:r>
          </w:p>
        </w:tc>
        <w:tc>
          <w:tcPr>
            <w:tcW w:w="3535" w:type="dxa"/>
            <w:shd w:val="clear" w:color="auto" w:fill="DBDBDB" w:themeFill="accent3" w:themeFillTint="66"/>
          </w:tcPr>
          <w:p w14:paraId="2EA069F1" w14:textId="35CDCC76" w:rsidR="0075110A" w:rsidRDefault="0075110A" w:rsidP="0075110A">
            <w:pPr>
              <w:pBdr>
                <w:top w:val="none" w:sz="0" w:space="0" w:color="auto"/>
                <w:left w:val="none" w:sz="0" w:space="0" w:color="auto"/>
                <w:bottom w:val="none" w:sz="0" w:space="0" w:color="auto"/>
                <w:right w:val="none" w:sz="0" w:space="0" w:color="auto"/>
                <w:between w:val="none" w:sz="0" w:space="0" w:color="auto"/>
              </w:pBdr>
              <w:rPr>
                <w:color w:val="auto"/>
              </w:rPr>
            </w:pPr>
            <w:r>
              <w:rPr>
                <w:color w:val="auto"/>
              </w:rPr>
              <w:t>Commentaires/Recommandations</w:t>
            </w:r>
            <w:r w:rsidR="00E37774">
              <w:rPr>
                <w:color w:val="auto"/>
              </w:rPr>
              <w:t xml:space="preserve"> </w:t>
            </w:r>
          </w:p>
        </w:tc>
      </w:tr>
      <w:tr w:rsidR="0075110A" w14:paraId="43D90240" w14:textId="77777777" w:rsidTr="00E37774">
        <w:tc>
          <w:tcPr>
            <w:tcW w:w="385" w:type="dxa"/>
          </w:tcPr>
          <w:p w14:paraId="6181F410" w14:textId="1DE50573" w:rsidR="0075110A" w:rsidRDefault="00D7705E" w:rsidP="0075110A">
            <w:pPr>
              <w:pBdr>
                <w:top w:val="none" w:sz="0" w:space="0" w:color="auto"/>
                <w:left w:val="none" w:sz="0" w:space="0" w:color="auto"/>
                <w:bottom w:val="none" w:sz="0" w:space="0" w:color="auto"/>
                <w:right w:val="none" w:sz="0" w:space="0" w:color="auto"/>
                <w:between w:val="none" w:sz="0" w:space="0" w:color="auto"/>
              </w:pBdr>
              <w:rPr>
                <w:color w:val="auto"/>
              </w:rPr>
            </w:pPr>
            <w:r>
              <w:t>1</w:t>
            </w:r>
          </w:p>
        </w:tc>
        <w:tc>
          <w:tcPr>
            <w:tcW w:w="4468" w:type="dxa"/>
          </w:tcPr>
          <w:p w14:paraId="517CEE24" w14:textId="56B58295" w:rsidR="0075110A" w:rsidRPr="00634983" w:rsidRDefault="00634983" w:rsidP="00555805">
            <w:pPr>
              <w:pBdr>
                <w:top w:val="none" w:sz="0" w:space="0" w:color="auto"/>
                <w:left w:val="none" w:sz="0" w:space="0" w:color="auto"/>
                <w:bottom w:val="none" w:sz="0" w:space="0" w:color="auto"/>
                <w:right w:val="none" w:sz="0" w:space="0" w:color="auto"/>
                <w:between w:val="none" w:sz="0" w:space="0" w:color="auto"/>
              </w:pBdr>
            </w:pPr>
            <w:r>
              <w:t xml:space="preserve">Le suivi a été effectué régulièrement selon le plan de prise en charge </w:t>
            </w:r>
          </w:p>
        </w:tc>
        <w:tc>
          <w:tcPr>
            <w:tcW w:w="962" w:type="dxa"/>
          </w:tcPr>
          <w:p w14:paraId="40C8BD3C" w14:textId="77777777" w:rsidR="0075110A" w:rsidRDefault="0075110A" w:rsidP="0075110A">
            <w:pPr>
              <w:pBdr>
                <w:top w:val="none" w:sz="0" w:space="0" w:color="auto"/>
                <w:left w:val="none" w:sz="0" w:space="0" w:color="auto"/>
                <w:bottom w:val="none" w:sz="0" w:space="0" w:color="auto"/>
                <w:right w:val="none" w:sz="0" w:space="0" w:color="auto"/>
                <w:between w:val="none" w:sz="0" w:space="0" w:color="auto"/>
              </w:pBdr>
              <w:rPr>
                <w:color w:val="auto"/>
              </w:rPr>
            </w:pPr>
          </w:p>
        </w:tc>
        <w:tc>
          <w:tcPr>
            <w:tcW w:w="3535" w:type="dxa"/>
          </w:tcPr>
          <w:p w14:paraId="70107EAF" w14:textId="77777777" w:rsidR="0075110A" w:rsidRDefault="0075110A" w:rsidP="0075110A">
            <w:pPr>
              <w:pBdr>
                <w:top w:val="none" w:sz="0" w:space="0" w:color="auto"/>
                <w:left w:val="none" w:sz="0" w:space="0" w:color="auto"/>
                <w:bottom w:val="none" w:sz="0" w:space="0" w:color="auto"/>
                <w:right w:val="none" w:sz="0" w:space="0" w:color="auto"/>
                <w:between w:val="none" w:sz="0" w:space="0" w:color="auto"/>
              </w:pBdr>
              <w:rPr>
                <w:color w:val="auto"/>
              </w:rPr>
            </w:pPr>
          </w:p>
        </w:tc>
      </w:tr>
      <w:tr w:rsidR="00D7705E" w14:paraId="152CCFFC" w14:textId="77777777" w:rsidTr="00E37774">
        <w:tc>
          <w:tcPr>
            <w:tcW w:w="385" w:type="dxa"/>
          </w:tcPr>
          <w:p w14:paraId="2BCE68A3" w14:textId="45EDDD96" w:rsidR="00D7705E" w:rsidRDefault="00D7705E" w:rsidP="0075110A">
            <w:pPr>
              <w:pBdr>
                <w:top w:val="none" w:sz="0" w:space="0" w:color="auto"/>
                <w:left w:val="none" w:sz="0" w:space="0" w:color="auto"/>
                <w:bottom w:val="none" w:sz="0" w:space="0" w:color="auto"/>
                <w:right w:val="none" w:sz="0" w:space="0" w:color="auto"/>
                <w:between w:val="none" w:sz="0" w:space="0" w:color="auto"/>
              </w:pBdr>
            </w:pPr>
            <w:r>
              <w:t>2</w:t>
            </w:r>
          </w:p>
        </w:tc>
        <w:tc>
          <w:tcPr>
            <w:tcW w:w="4468" w:type="dxa"/>
          </w:tcPr>
          <w:p w14:paraId="28910C82" w14:textId="682FF071" w:rsidR="00D7705E" w:rsidRDefault="00D7705E" w:rsidP="00555805">
            <w:pPr>
              <w:pBdr>
                <w:top w:val="none" w:sz="0" w:space="0" w:color="auto"/>
                <w:left w:val="none" w:sz="0" w:space="0" w:color="auto"/>
                <w:bottom w:val="none" w:sz="0" w:space="0" w:color="auto"/>
                <w:right w:val="none" w:sz="0" w:space="0" w:color="auto"/>
                <w:between w:val="none" w:sz="0" w:space="0" w:color="auto"/>
              </w:pBdr>
            </w:pPr>
            <w:r>
              <w:t>L’examen du plan de prise en charge a été effectué au moins une fois tous les trois mois avec l’enfant et le tuteur</w:t>
            </w:r>
          </w:p>
        </w:tc>
        <w:tc>
          <w:tcPr>
            <w:tcW w:w="962" w:type="dxa"/>
          </w:tcPr>
          <w:p w14:paraId="5F99A227" w14:textId="77777777" w:rsidR="00D7705E" w:rsidRDefault="00D7705E" w:rsidP="0075110A">
            <w:pPr>
              <w:pBdr>
                <w:top w:val="none" w:sz="0" w:space="0" w:color="auto"/>
                <w:left w:val="none" w:sz="0" w:space="0" w:color="auto"/>
                <w:bottom w:val="none" w:sz="0" w:space="0" w:color="auto"/>
                <w:right w:val="none" w:sz="0" w:space="0" w:color="auto"/>
                <w:between w:val="none" w:sz="0" w:space="0" w:color="auto"/>
              </w:pBdr>
              <w:rPr>
                <w:color w:val="auto"/>
              </w:rPr>
            </w:pPr>
          </w:p>
        </w:tc>
        <w:tc>
          <w:tcPr>
            <w:tcW w:w="3535" w:type="dxa"/>
          </w:tcPr>
          <w:p w14:paraId="23EEA496" w14:textId="77777777" w:rsidR="00D7705E" w:rsidRDefault="00D7705E" w:rsidP="0075110A">
            <w:pPr>
              <w:pBdr>
                <w:top w:val="none" w:sz="0" w:space="0" w:color="auto"/>
                <w:left w:val="none" w:sz="0" w:space="0" w:color="auto"/>
                <w:bottom w:val="none" w:sz="0" w:space="0" w:color="auto"/>
                <w:right w:val="none" w:sz="0" w:space="0" w:color="auto"/>
                <w:between w:val="none" w:sz="0" w:space="0" w:color="auto"/>
              </w:pBdr>
              <w:rPr>
                <w:color w:val="auto"/>
              </w:rPr>
            </w:pPr>
          </w:p>
        </w:tc>
      </w:tr>
      <w:tr w:rsidR="0075110A" w14:paraId="766399E6" w14:textId="77777777" w:rsidTr="00E37774">
        <w:tc>
          <w:tcPr>
            <w:tcW w:w="385" w:type="dxa"/>
          </w:tcPr>
          <w:p w14:paraId="6170D93D" w14:textId="6EEAEF5E" w:rsidR="0075110A" w:rsidRDefault="00D7705E" w:rsidP="0075110A">
            <w:pPr>
              <w:pBdr>
                <w:top w:val="none" w:sz="0" w:space="0" w:color="auto"/>
                <w:left w:val="none" w:sz="0" w:space="0" w:color="auto"/>
                <w:bottom w:val="none" w:sz="0" w:space="0" w:color="auto"/>
                <w:right w:val="none" w:sz="0" w:space="0" w:color="auto"/>
                <w:between w:val="none" w:sz="0" w:space="0" w:color="auto"/>
              </w:pBdr>
              <w:rPr>
                <w:color w:val="auto"/>
              </w:rPr>
            </w:pPr>
            <w:r>
              <w:rPr>
                <w:color w:val="auto"/>
              </w:rPr>
              <w:t>3</w:t>
            </w:r>
          </w:p>
        </w:tc>
        <w:tc>
          <w:tcPr>
            <w:tcW w:w="4468" w:type="dxa"/>
          </w:tcPr>
          <w:p w14:paraId="414ADE8A" w14:textId="6E9CB7A9" w:rsidR="0075110A" w:rsidRDefault="0075110A" w:rsidP="0075110A">
            <w:pPr>
              <w:pBdr>
                <w:top w:val="none" w:sz="0" w:space="0" w:color="auto"/>
                <w:left w:val="none" w:sz="0" w:space="0" w:color="auto"/>
                <w:bottom w:val="none" w:sz="0" w:space="0" w:color="auto"/>
                <w:right w:val="none" w:sz="0" w:space="0" w:color="auto"/>
                <w:between w:val="none" w:sz="0" w:space="0" w:color="auto"/>
              </w:pBdr>
              <w:rPr>
                <w:color w:val="auto"/>
              </w:rPr>
            </w:pPr>
            <w:r>
              <w:t>Sur la base de cet examen, le plan de prise en charge a été ajusté en conséquence</w:t>
            </w:r>
          </w:p>
        </w:tc>
        <w:tc>
          <w:tcPr>
            <w:tcW w:w="962" w:type="dxa"/>
          </w:tcPr>
          <w:p w14:paraId="704824C1" w14:textId="77777777" w:rsidR="0075110A" w:rsidRDefault="0075110A" w:rsidP="0075110A">
            <w:pPr>
              <w:pBdr>
                <w:top w:val="none" w:sz="0" w:space="0" w:color="auto"/>
                <w:left w:val="none" w:sz="0" w:space="0" w:color="auto"/>
                <w:bottom w:val="none" w:sz="0" w:space="0" w:color="auto"/>
                <w:right w:val="none" w:sz="0" w:space="0" w:color="auto"/>
                <w:between w:val="none" w:sz="0" w:space="0" w:color="auto"/>
              </w:pBdr>
              <w:rPr>
                <w:color w:val="auto"/>
              </w:rPr>
            </w:pPr>
          </w:p>
        </w:tc>
        <w:tc>
          <w:tcPr>
            <w:tcW w:w="3535" w:type="dxa"/>
          </w:tcPr>
          <w:p w14:paraId="1AB6EB0A" w14:textId="77777777" w:rsidR="0075110A" w:rsidRDefault="0075110A" w:rsidP="0075110A">
            <w:pPr>
              <w:pBdr>
                <w:top w:val="none" w:sz="0" w:space="0" w:color="auto"/>
                <w:left w:val="none" w:sz="0" w:space="0" w:color="auto"/>
                <w:bottom w:val="none" w:sz="0" w:space="0" w:color="auto"/>
                <w:right w:val="none" w:sz="0" w:space="0" w:color="auto"/>
                <w:between w:val="none" w:sz="0" w:space="0" w:color="auto"/>
              </w:pBdr>
              <w:rPr>
                <w:color w:val="auto"/>
              </w:rPr>
            </w:pPr>
          </w:p>
        </w:tc>
      </w:tr>
      <w:tr w:rsidR="0075110A" w14:paraId="54AD10D5" w14:textId="77777777" w:rsidTr="00E37774">
        <w:tc>
          <w:tcPr>
            <w:tcW w:w="4853" w:type="dxa"/>
            <w:gridSpan w:val="2"/>
            <w:shd w:val="clear" w:color="auto" w:fill="DBDBDB" w:themeFill="accent3" w:themeFillTint="66"/>
          </w:tcPr>
          <w:p w14:paraId="635C9397" w14:textId="4E55E26E" w:rsidR="0075110A" w:rsidRPr="00CE6951" w:rsidRDefault="0075110A" w:rsidP="0075110A">
            <w:pPr>
              <w:pBdr>
                <w:top w:val="none" w:sz="0" w:space="0" w:color="auto"/>
                <w:left w:val="none" w:sz="0" w:space="0" w:color="auto"/>
                <w:bottom w:val="none" w:sz="0" w:space="0" w:color="auto"/>
                <w:right w:val="none" w:sz="0" w:space="0" w:color="auto"/>
                <w:between w:val="none" w:sz="0" w:space="0" w:color="auto"/>
              </w:pBdr>
              <w:rPr>
                <w:b/>
                <w:color w:val="auto"/>
              </w:rPr>
            </w:pPr>
            <w:r>
              <w:rPr>
                <w:b/>
                <w:color w:val="auto"/>
              </w:rPr>
              <w:t>Clôture du cas</w:t>
            </w:r>
          </w:p>
        </w:tc>
        <w:tc>
          <w:tcPr>
            <w:tcW w:w="962" w:type="dxa"/>
            <w:shd w:val="clear" w:color="auto" w:fill="DBDBDB" w:themeFill="accent3" w:themeFillTint="66"/>
          </w:tcPr>
          <w:p w14:paraId="7197032F" w14:textId="77777777" w:rsidR="0075110A" w:rsidRPr="00CE6951" w:rsidRDefault="0075110A" w:rsidP="0075110A">
            <w:pPr>
              <w:pBdr>
                <w:top w:val="none" w:sz="0" w:space="0" w:color="auto"/>
                <w:left w:val="none" w:sz="0" w:space="0" w:color="auto"/>
                <w:bottom w:val="none" w:sz="0" w:space="0" w:color="auto"/>
                <w:right w:val="none" w:sz="0" w:space="0" w:color="auto"/>
                <w:between w:val="none" w:sz="0" w:space="0" w:color="auto"/>
              </w:pBdr>
              <w:rPr>
                <w:b/>
                <w:color w:val="auto"/>
              </w:rPr>
            </w:pPr>
          </w:p>
        </w:tc>
        <w:tc>
          <w:tcPr>
            <w:tcW w:w="3535" w:type="dxa"/>
            <w:shd w:val="clear" w:color="auto" w:fill="DBDBDB" w:themeFill="accent3" w:themeFillTint="66"/>
          </w:tcPr>
          <w:p w14:paraId="49622187" w14:textId="77777777" w:rsidR="0075110A" w:rsidRPr="00CE6951" w:rsidRDefault="0075110A" w:rsidP="0075110A">
            <w:pPr>
              <w:pBdr>
                <w:top w:val="none" w:sz="0" w:space="0" w:color="auto"/>
                <w:left w:val="none" w:sz="0" w:space="0" w:color="auto"/>
                <w:bottom w:val="none" w:sz="0" w:space="0" w:color="auto"/>
                <w:right w:val="none" w:sz="0" w:space="0" w:color="auto"/>
                <w:between w:val="none" w:sz="0" w:space="0" w:color="auto"/>
              </w:pBdr>
              <w:rPr>
                <w:b/>
                <w:color w:val="auto"/>
              </w:rPr>
            </w:pPr>
          </w:p>
        </w:tc>
      </w:tr>
      <w:tr w:rsidR="0075110A" w14:paraId="49416D9F" w14:textId="77777777" w:rsidTr="00E37774">
        <w:tc>
          <w:tcPr>
            <w:tcW w:w="385" w:type="dxa"/>
          </w:tcPr>
          <w:p w14:paraId="7CD25F69" w14:textId="4093990D" w:rsidR="0075110A" w:rsidRDefault="0075110A" w:rsidP="0075110A">
            <w:pPr>
              <w:pBdr>
                <w:top w:val="none" w:sz="0" w:space="0" w:color="auto"/>
                <w:left w:val="none" w:sz="0" w:space="0" w:color="auto"/>
                <w:bottom w:val="none" w:sz="0" w:space="0" w:color="auto"/>
                <w:right w:val="none" w:sz="0" w:space="0" w:color="auto"/>
                <w:between w:val="none" w:sz="0" w:space="0" w:color="auto"/>
              </w:pBdr>
              <w:rPr>
                <w:color w:val="auto"/>
              </w:rPr>
            </w:pPr>
            <w:r>
              <w:rPr>
                <w:color w:val="auto"/>
              </w:rPr>
              <w:t>1</w:t>
            </w:r>
          </w:p>
        </w:tc>
        <w:tc>
          <w:tcPr>
            <w:tcW w:w="4468" w:type="dxa"/>
          </w:tcPr>
          <w:p w14:paraId="2DA3408C" w14:textId="3DF16C9F" w:rsidR="0075110A" w:rsidRDefault="02365596" w:rsidP="00555805">
            <w:pPr>
              <w:pBdr>
                <w:top w:val="none" w:sz="0" w:space="0" w:color="auto"/>
                <w:left w:val="none" w:sz="0" w:space="0" w:color="auto"/>
                <w:bottom w:val="none" w:sz="0" w:space="0" w:color="auto"/>
                <w:right w:val="none" w:sz="0" w:space="0" w:color="auto"/>
                <w:between w:val="none" w:sz="0" w:space="0" w:color="auto"/>
              </w:pBdr>
            </w:pPr>
            <w:r>
              <w:t xml:space="preserve">La raison de la clôture du cas est clairement documentée </w:t>
            </w:r>
          </w:p>
        </w:tc>
        <w:tc>
          <w:tcPr>
            <w:tcW w:w="962" w:type="dxa"/>
          </w:tcPr>
          <w:p w14:paraId="6AF00902" w14:textId="77777777" w:rsidR="0075110A" w:rsidRDefault="0075110A" w:rsidP="0075110A">
            <w:pPr>
              <w:pBdr>
                <w:top w:val="none" w:sz="0" w:space="0" w:color="auto"/>
                <w:left w:val="none" w:sz="0" w:space="0" w:color="auto"/>
                <w:bottom w:val="none" w:sz="0" w:space="0" w:color="auto"/>
                <w:right w:val="none" w:sz="0" w:space="0" w:color="auto"/>
                <w:between w:val="none" w:sz="0" w:space="0" w:color="auto"/>
              </w:pBdr>
              <w:rPr>
                <w:color w:val="auto"/>
              </w:rPr>
            </w:pPr>
          </w:p>
        </w:tc>
        <w:tc>
          <w:tcPr>
            <w:tcW w:w="3535" w:type="dxa"/>
          </w:tcPr>
          <w:p w14:paraId="15967CE0" w14:textId="77777777" w:rsidR="0075110A" w:rsidRDefault="0075110A" w:rsidP="0075110A">
            <w:pPr>
              <w:pBdr>
                <w:top w:val="none" w:sz="0" w:space="0" w:color="auto"/>
                <w:left w:val="none" w:sz="0" w:space="0" w:color="auto"/>
                <w:bottom w:val="none" w:sz="0" w:space="0" w:color="auto"/>
                <w:right w:val="none" w:sz="0" w:space="0" w:color="auto"/>
                <w:between w:val="none" w:sz="0" w:space="0" w:color="auto"/>
              </w:pBdr>
              <w:rPr>
                <w:color w:val="auto"/>
              </w:rPr>
            </w:pPr>
          </w:p>
        </w:tc>
      </w:tr>
      <w:tr w:rsidR="0075110A" w14:paraId="6EBBD28A" w14:textId="77777777" w:rsidTr="00E37774">
        <w:tc>
          <w:tcPr>
            <w:tcW w:w="385" w:type="dxa"/>
          </w:tcPr>
          <w:p w14:paraId="0E6B9E96" w14:textId="71E5428A" w:rsidR="0075110A" w:rsidRDefault="0075110A" w:rsidP="0075110A">
            <w:pPr>
              <w:pBdr>
                <w:top w:val="none" w:sz="0" w:space="0" w:color="auto"/>
                <w:left w:val="none" w:sz="0" w:space="0" w:color="auto"/>
                <w:bottom w:val="none" w:sz="0" w:space="0" w:color="auto"/>
                <w:right w:val="none" w:sz="0" w:space="0" w:color="auto"/>
                <w:between w:val="none" w:sz="0" w:space="0" w:color="auto"/>
              </w:pBdr>
              <w:rPr>
                <w:color w:val="auto"/>
              </w:rPr>
            </w:pPr>
            <w:r>
              <w:rPr>
                <w:color w:val="auto"/>
              </w:rPr>
              <w:t>2</w:t>
            </w:r>
          </w:p>
        </w:tc>
        <w:tc>
          <w:tcPr>
            <w:tcW w:w="4468" w:type="dxa"/>
          </w:tcPr>
          <w:p w14:paraId="4BBE8F05" w14:textId="59ED8143" w:rsidR="0075110A" w:rsidRDefault="02365596" w:rsidP="0075110A">
            <w:pPr>
              <w:pBdr>
                <w:top w:val="none" w:sz="0" w:space="0" w:color="auto"/>
                <w:left w:val="none" w:sz="0" w:space="0" w:color="auto"/>
                <w:bottom w:val="none" w:sz="0" w:space="0" w:color="auto"/>
                <w:right w:val="none" w:sz="0" w:space="0" w:color="auto"/>
                <w:between w:val="none" w:sz="0" w:space="0" w:color="auto"/>
              </w:pBdr>
            </w:pPr>
            <w:r>
              <w:t>La documentation indique que :</w:t>
            </w:r>
          </w:p>
          <w:p w14:paraId="198308E5" w14:textId="6741C0B4" w:rsidR="0075110A" w:rsidRDefault="0075110A" w:rsidP="0075110A">
            <w:pPr>
              <w:pStyle w:val="ListParagraph"/>
              <w:numPr>
                <w:ilvl w:val="0"/>
                <w:numId w:val="2"/>
              </w:numPr>
              <w:pBdr>
                <w:top w:val="none" w:sz="0" w:space="0" w:color="auto"/>
                <w:left w:val="none" w:sz="0" w:space="0" w:color="auto"/>
                <w:bottom w:val="none" w:sz="0" w:space="0" w:color="auto"/>
                <w:right w:val="none" w:sz="0" w:space="0" w:color="auto"/>
                <w:between w:val="none" w:sz="0" w:space="0" w:color="auto"/>
              </w:pBdr>
            </w:pPr>
            <w:r>
              <w:t>Le travailleur social/l’enfant/le tuteur ont discuté de l’état d’avancement suffisant</w:t>
            </w:r>
            <w:r w:rsidR="008D5D5A">
              <w:t xml:space="preserve"> </w:t>
            </w:r>
            <w:r>
              <w:t xml:space="preserve">et ont décidé de clore le cas </w:t>
            </w:r>
          </w:p>
          <w:p w14:paraId="51AFA6D9" w14:textId="634F8009" w:rsidR="0075110A" w:rsidRPr="00E37774" w:rsidRDefault="0075110A" w:rsidP="0075110A">
            <w:pPr>
              <w:pStyle w:val="ListParagraph"/>
              <w:numPr>
                <w:ilvl w:val="0"/>
                <w:numId w:val="2"/>
              </w:numPr>
              <w:pBdr>
                <w:top w:val="none" w:sz="0" w:space="0" w:color="auto"/>
                <w:left w:val="none" w:sz="0" w:space="0" w:color="auto"/>
                <w:bottom w:val="none" w:sz="0" w:space="0" w:color="auto"/>
                <w:right w:val="none" w:sz="0" w:space="0" w:color="auto"/>
                <w:between w:val="none" w:sz="0" w:space="0" w:color="auto"/>
              </w:pBdr>
              <w:rPr>
                <w:spacing w:val="-5"/>
              </w:rPr>
            </w:pPr>
            <w:r w:rsidRPr="00E37774">
              <w:rPr>
                <w:spacing w:val="-5"/>
              </w:rPr>
              <w:t>Les coordonnées ont été données dans l’éventualité où l’enfant ou la famille a besoin de contacter le travailleur social/l’agence</w:t>
            </w:r>
          </w:p>
        </w:tc>
        <w:tc>
          <w:tcPr>
            <w:tcW w:w="962" w:type="dxa"/>
          </w:tcPr>
          <w:p w14:paraId="5AA0C22D" w14:textId="77777777" w:rsidR="0075110A" w:rsidRDefault="0075110A" w:rsidP="0075110A">
            <w:pPr>
              <w:pBdr>
                <w:top w:val="none" w:sz="0" w:space="0" w:color="auto"/>
                <w:left w:val="none" w:sz="0" w:space="0" w:color="auto"/>
                <w:bottom w:val="none" w:sz="0" w:space="0" w:color="auto"/>
                <w:right w:val="none" w:sz="0" w:space="0" w:color="auto"/>
                <w:between w:val="none" w:sz="0" w:space="0" w:color="auto"/>
              </w:pBdr>
              <w:rPr>
                <w:color w:val="auto"/>
              </w:rPr>
            </w:pPr>
          </w:p>
        </w:tc>
        <w:tc>
          <w:tcPr>
            <w:tcW w:w="3535" w:type="dxa"/>
          </w:tcPr>
          <w:p w14:paraId="64460F0A" w14:textId="77777777" w:rsidR="0075110A" w:rsidRDefault="0075110A" w:rsidP="0075110A">
            <w:pPr>
              <w:pBdr>
                <w:top w:val="none" w:sz="0" w:space="0" w:color="auto"/>
                <w:left w:val="none" w:sz="0" w:space="0" w:color="auto"/>
                <w:bottom w:val="none" w:sz="0" w:space="0" w:color="auto"/>
                <w:right w:val="none" w:sz="0" w:space="0" w:color="auto"/>
                <w:between w:val="none" w:sz="0" w:space="0" w:color="auto"/>
              </w:pBdr>
              <w:rPr>
                <w:color w:val="auto"/>
              </w:rPr>
            </w:pPr>
          </w:p>
        </w:tc>
      </w:tr>
      <w:tr w:rsidR="0075110A" w14:paraId="6A4698B9" w14:textId="77777777" w:rsidTr="00E37774">
        <w:tc>
          <w:tcPr>
            <w:tcW w:w="385" w:type="dxa"/>
          </w:tcPr>
          <w:p w14:paraId="3688E528" w14:textId="7BEFC3AA" w:rsidR="0075110A" w:rsidRDefault="0075110A" w:rsidP="0075110A">
            <w:pPr>
              <w:pBdr>
                <w:top w:val="none" w:sz="0" w:space="0" w:color="auto"/>
                <w:left w:val="none" w:sz="0" w:space="0" w:color="auto"/>
                <w:bottom w:val="none" w:sz="0" w:space="0" w:color="auto"/>
                <w:right w:val="none" w:sz="0" w:space="0" w:color="auto"/>
                <w:between w:val="none" w:sz="0" w:space="0" w:color="auto"/>
              </w:pBdr>
              <w:rPr>
                <w:color w:val="auto"/>
              </w:rPr>
            </w:pPr>
            <w:r>
              <w:rPr>
                <w:color w:val="auto"/>
              </w:rPr>
              <w:t>3</w:t>
            </w:r>
          </w:p>
        </w:tc>
        <w:tc>
          <w:tcPr>
            <w:tcW w:w="4468" w:type="dxa"/>
          </w:tcPr>
          <w:p w14:paraId="3CCBEE19" w14:textId="2A6E3403" w:rsidR="0075110A" w:rsidRDefault="02365596" w:rsidP="02365596">
            <w:pPr>
              <w:pBdr>
                <w:top w:val="none" w:sz="0" w:space="0" w:color="auto"/>
                <w:left w:val="none" w:sz="0" w:space="0" w:color="auto"/>
                <w:bottom w:val="none" w:sz="0" w:space="0" w:color="auto"/>
                <w:right w:val="none" w:sz="0" w:space="0" w:color="auto"/>
                <w:between w:val="none" w:sz="0" w:space="0" w:color="auto"/>
              </w:pBdr>
              <w:rPr>
                <w:color w:val="auto"/>
              </w:rPr>
            </w:pPr>
            <w:r>
              <w:t xml:space="preserve">L’approbation de la clôture du cas par le superviseur/responsable est documentée </w:t>
            </w:r>
          </w:p>
        </w:tc>
        <w:tc>
          <w:tcPr>
            <w:tcW w:w="962" w:type="dxa"/>
          </w:tcPr>
          <w:p w14:paraId="767A0241" w14:textId="77777777" w:rsidR="0075110A" w:rsidRDefault="0075110A" w:rsidP="0075110A">
            <w:pPr>
              <w:pBdr>
                <w:top w:val="none" w:sz="0" w:space="0" w:color="auto"/>
                <w:left w:val="none" w:sz="0" w:space="0" w:color="auto"/>
                <w:bottom w:val="none" w:sz="0" w:space="0" w:color="auto"/>
                <w:right w:val="none" w:sz="0" w:space="0" w:color="auto"/>
                <w:between w:val="none" w:sz="0" w:space="0" w:color="auto"/>
              </w:pBdr>
              <w:rPr>
                <w:color w:val="auto"/>
              </w:rPr>
            </w:pPr>
          </w:p>
        </w:tc>
        <w:tc>
          <w:tcPr>
            <w:tcW w:w="3535" w:type="dxa"/>
          </w:tcPr>
          <w:p w14:paraId="41B57B43" w14:textId="77777777" w:rsidR="0075110A" w:rsidRDefault="0075110A" w:rsidP="0075110A">
            <w:pPr>
              <w:pBdr>
                <w:top w:val="none" w:sz="0" w:space="0" w:color="auto"/>
                <w:left w:val="none" w:sz="0" w:space="0" w:color="auto"/>
                <w:bottom w:val="none" w:sz="0" w:space="0" w:color="auto"/>
                <w:right w:val="none" w:sz="0" w:space="0" w:color="auto"/>
                <w:between w:val="none" w:sz="0" w:space="0" w:color="auto"/>
              </w:pBdr>
              <w:rPr>
                <w:color w:val="auto"/>
              </w:rPr>
            </w:pPr>
          </w:p>
        </w:tc>
      </w:tr>
      <w:tr w:rsidR="0075110A" w14:paraId="39A1157C" w14:textId="77777777" w:rsidTr="00E37774">
        <w:tc>
          <w:tcPr>
            <w:tcW w:w="385" w:type="dxa"/>
          </w:tcPr>
          <w:p w14:paraId="315DD3D0" w14:textId="38324E43" w:rsidR="0075110A" w:rsidRDefault="0075110A" w:rsidP="0075110A">
            <w:pPr>
              <w:pBdr>
                <w:top w:val="none" w:sz="0" w:space="0" w:color="auto"/>
                <w:left w:val="none" w:sz="0" w:space="0" w:color="auto"/>
                <w:bottom w:val="none" w:sz="0" w:space="0" w:color="auto"/>
                <w:right w:val="none" w:sz="0" w:space="0" w:color="auto"/>
                <w:between w:val="none" w:sz="0" w:space="0" w:color="auto"/>
              </w:pBdr>
              <w:rPr>
                <w:color w:val="auto"/>
              </w:rPr>
            </w:pPr>
            <w:r>
              <w:rPr>
                <w:color w:val="auto"/>
              </w:rPr>
              <w:t>4</w:t>
            </w:r>
          </w:p>
        </w:tc>
        <w:tc>
          <w:tcPr>
            <w:tcW w:w="4468" w:type="dxa"/>
          </w:tcPr>
          <w:p w14:paraId="7793ADE6" w14:textId="1987B3E1" w:rsidR="0075110A" w:rsidRDefault="02365596" w:rsidP="02365596">
            <w:pPr>
              <w:pBdr>
                <w:top w:val="none" w:sz="0" w:space="0" w:color="auto"/>
                <w:left w:val="none" w:sz="0" w:space="0" w:color="auto"/>
                <w:bottom w:val="none" w:sz="0" w:space="0" w:color="auto"/>
                <w:right w:val="none" w:sz="0" w:space="0" w:color="auto"/>
                <w:between w:val="none" w:sz="0" w:space="0" w:color="auto"/>
              </w:pBdr>
              <w:rPr>
                <w:color w:val="auto"/>
              </w:rPr>
            </w:pPr>
            <w:r>
              <w:t>Une visite de suivi a été prévue avec l’enfant/le tuteur et organisée dans les trois mois suivant la clôture du cas</w:t>
            </w:r>
          </w:p>
        </w:tc>
        <w:tc>
          <w:tcPr>
            <w:tcW w:w="962" w:type="dxa"/>
          </w:tcPr>
          <w:p w14:paraId="77833A80" w14:textId="77777777" w:rsidR="0075110A" w:rsidRDefault="0075110A" w:rsidP="0075110A">
            <w:pPr>
              <w:pBdr>
                <w:top w:val="none" w:sz="0" w:space="0" w:color="auto"/>
                <w:left w:val="none" w:sz="0" w:space="0" w:color="auto"/>
                <w:bottom w:val="none" w:sz="0" w:space="0" w:color="auto"/>
                <w:right w:val="none" w:sz="0" w:space="0" w:color="auto"/>
                <w:between w:val="none" w:sz="0" w:space="0" w:color="auto"/>
              </w:pBdr>
              <w:rPr>
                <w:color w:val="auto"/>
              </w:rPr>
            </w:pPr>
          </w:p>
        </w:tc>
        <w:tc>
          <w:tcPr>
            <w:tcW w:w="3535" w:type="dxa"/>
          </w:tcPr>
          <w:p w14:paraId="00683AB6" w14:textId="77777777" w:rsidR="0075110A" w:rsidRDefault="0075110A" w:rsidP="0075110A">
            <w:pPr>
              <w:pBdr>
                <w:top w:val="none" w:sz="0" w:space="0" w:color="auto"/>
                <w:left w:val="none" w:sz="0" w:space="0" w:color="auto"/>
                <w:bottom w:val="none" w:sz="0" w:space="0" w:color="auto"/>
                <w:right w:val="none" w:sz="0" w:space="0" w:color="auto"/>
                <w:between w:val="none" w:sz="0" w:space="0" w:color="auto"/>
              </w:pBdr>
              <w:rPr>
                <w:color w:val="auto"/>
              </w:rPr>
            </w:pPr>
          </w:p>
        </w:tc>
      </w:tr>
      <w:tr w:rsidR="0090437A" w14:paraId="7E4F214A" w14:textId="77777777" w:rsidTr="00E37774">
        <w:tc>
          <w:tcPr>
            <w:tcW w:w="9350" w:type="dxa"/>
            <w:gridSpan w:val="4"/>
            <w:shd w:val="clear" w:color="auto" w:fill="D9D9D9" w:themeFill="background1" w:themeFillShade="D9"/>
          </w:tcPr>
          <w:p w14:paraId="4BFE855D" w14:textId="23BB8D2F" w:rsidR="0090437A" w:rsidRPr="0090437A" w:rsidRDefault="0090437A" w:rsidP="00772C0E">
            <w:pPr>
              <w:pBdr>
                <w:top w:val="none" w:sz="0" w:space="0" w:color="auto"/>
                <w:left w:val="none" w:sz="0" w:space="0" w:color="auto"/>
                <w:bottom w:val="none" w:sz="0" w:space="0" w:color="auto"/>
                <w:right w:val="none" w:sz="0" w:space="0" w:color="auto"/>
                <w:between w:val="none" w:sz="0" w:space="0" w:color="auto"/>
              </w:pBdr>
              <w:rPr>
                <w:b/>
                <w:color w:val="auto"/>
              </w:rPr>
            </w:pPr>
            <w:r>
              <w:rPr>
                <w:b/>
              </w:rPr>
              <w:t>Mesures à prendre</w:t>
            </w:r>
          </w:p>
        </w:tc>
      </w:tr>
      <w:tr w:rsidR="0090437A" w14:paraId="0621A176" w14:textId="77777777" w:rsidTr="00E37774">
        <w:tc>
          <w:tcPr>
            <w:tcW w:w="4853" w:type="dxa"/>
            <w:gridSpan w:val="2"/>
          </w:tcPr>
          <w:p w14:paraId="31BD2ACC" w14:textId="10C4C709" w:rsidR="0090437A" w:rsidRPr="00484FFE" w:rsidRDefault="0090437A" w:rsidP="0075110A">
            <w:pPr>
              <w:pBdr>
                <w:top w:val="none" w:sz="0" w:space="0" w:color="auto"/>
                <w:left w:val="none" w:sz="0" w:space="0" w:color="auto"/>
                <w:bottom w:val="none" w:sz="0" w:space="0" w:color="auto"/>
                <w:right w:val="none" w:sz="0" w:space="0" w:color="auto"/>
                <w:between w:val="none" w:sz="0" w:space="0" w:color="auto"/>
              </w:pBdr>
              <w:rPr>
                <w:b/>
              </w:rPr>
            </w:pPr>
            <w:r>
              <w:rPr>
                <w:b/>
              </w:rPr>
              <w:t xml:space="preserve">Superviseur : </w:t>
            </w:r>
          </w:p>
          <w:p w14:paraId="411FAED9" w14:textId="77777777" w:rsidR="0090437A" w:rsidRPr="00484FFE" w:rsidRDefault="0090437A" w:rsidP="0075110A">
            <w:pPr>
              <w:pBdr>
                <w:top w:val="none" w:sz="0" w:space="0" w:color="auto"/>
                <w:left w:val="none" w:sz="0" w:space="0" w:color="auto"/>
                <w:bottom w:val="none" w:sz="0" w:space="0" w:color="auto"/>
                <w:right w:val="none" w:sz="0" w:space="0" w:color="auto"/>
                <w:between w:val="none" w:sz="0" w:space="0" w:color="auto"/>
              </w:pBdr>
              <w:rPr>
                <w:b/>
              </w:rPr>
            </w:pPr>
          </w:p>
          <w:p w14:paraId="77839365" w14:textId="77777777" w:rsidR="0090437A" w:rsidRPr="00484FFE" w:rsidRDefault="0090437A" w:rsidP="0075110A">
            <w:pPr>
              <w:pBdr>
                <w:top w:val="none" w:sz="0" w:space="0" w:color="auto"/>
                <w:left w:val="none" w:sz="0" w:space="0" w:color="auto"/>
                <w:bottom w:val="none" w:sz="0" w:space="0" w:color="auto"/>
                <w:right w:val="none" w:sz="0" w:space="0" w:color="auto"/>
                <w:between w:val="none" w:sz="0" w:space="0" w:color="auto"/>
              </w:pBdr>
              <w:rPr>
                <w:b/>
              </w:rPr>
            </w:pPr>
          </w:p>
          <w:p w14:paraId="2CA9FFBD" w14:textId="77777777" w:rsidR="0090437A" w:rsidRPr="00484FFE" w:rsidRDefault="0090437A" w:rsidP="0075110A">
            <w:pPr>
              <w:pBdr>
                <w:top w:val="none" w:sz="0" w:space="0" w:color="auto"/>
                <w:left w:val="none" w:sz="0" w:space="0" w:color="auto"/>
                <w:bottom w:val="none" w:sz="0" w:space="0" w:color="auto"/>
                <w:right w:val="none" w:sz="0" w:space="0" w:color="auto"/>
                <w:between w:val="none" w:sz="0" w:space="0" w:color="auto"/>
              </w:pBdr>
              <w:rPr>
                <w:b/>
              </w:rPr>
            </w:pPr>
          </w:p>
          <w:p w14:paraId="707E1D97" w14:textId="1ECC56EC" w:rsidR="0090437A" w:rsidRPr="00484FFE" w:rsidRDefault="0090437A" w:rsidP="0075110A">
            <w:pPr>
              <w:pBdr>
                <w:top w:val="none" w:sz="0" w:space="0" w:color="auto"/>
                <w:left w:val="none" w:sz="0" w:space="0" w:color="auto"/>
                <w:bottom w:val="none" w:sz="0" w:space="0" w:color="auto"/>
                <w:right w:val="none" w:sz="0" w:space="0" w:color="auto"/>
                <w:between w:val="none" w:sz="0" w:space="0" w:color="auto"/>
              </w:pBdr>
              <w:rPr>
                <w:b/>
              </w:rPr>
            </w:pPr>
          </w:p>
        </w:tc>
        <w:tc>
          <w:tcPr>
            <w:tcW w:w="4497" w:type="dxa"/>
            <w:gridSpan w:val="2"/>
          </w:tcPr>
          <w:p w14:paraId="51ECD7DA" w14:textId="681461C9" w:rsidR="0090437A" w:rsidRPr="00484FFE" w:rsidRDefault="0090437A" w:rsidP="0075110A">
            <w:pPr>
              <w:pBdr>
                <w:top w:val="none" w:sz="0" w:space="0" w:color="auto"/>
                <w:left w:val="none" w:sz="0" w:space="0" w:color="auto"/>
                <w:bottom w:val="none" w:sz="0" w:space="0" w:color="auto"/>
                <w:right w:val="none" w:sz="0" w:space="0" w:color="auto"/>
                <w:between w:val="none" w:sz="0" w:space="0" w:color="auto"/>
              </w:pBdr>
              <w:rPr>
                <w:b/>
                <w:color w:val="auto"/>
              </w:rPr>
            </w:pPr>
            <w:r>
              <w:rPr>
                <w:b/>
                <w:color w:val="auto"/>
              </w:rPr>
              <w:t xml:space="preserve">Travailleur social : </w:t>
            </w:r>
          </w:p>
        </w:tc>
      </w:tr>
    </w:tbl>
    <w:p w14:paraId="11A0DC55" w14:textId="77777777" w:rsidR="00D93B86" w:rsidRDefault="00D93B86"/>
    <w:sectPr w:rsidR="00D93B86">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F2FD3" w14:textId="77777777" w:rsidR="00FE4200" w:rsidRDefault="00FE4200">
      <w:pPr>
        <w:spacing w:after="0" w:line="240" w:lineRule="auto"/>
      </w:pPr>
      <w:r>
        <w:separator/>
      </w:r>
    </w:p>
  </w:endnote>
  <w:endnote w:type="continuationSeparator" w:id="0">
    <w:p w14:paraId="2323BA27" w14:textId="77777777" w:rsidR="00FE4200" w:rsidRDefault="00FE4200">
      <w:pPr>
        <w:spacing w:after="0" w:line="240" w:lineRule="auto"/>
      </w:pPr>
      <w:r>
        <w:continuationSeparator/>
      </w:r>
    </w:p>
  </w:endnote>
  <w:endnote w:id="1">
    <w:p w14:paraId="572A5AE7" w14:textId="30F65C2E" w:rsidR="000E642B" w:rsidRDefault="000E642B">
      <w:pPr>
        <w:pStyle w:val="EndnoteText"/>
      </w:pPr>
      <w:r>
        <w:rPr>
          <w:rStyle w:val="EndnoteReference"/>
        </w:rPr>
        <w:endnoteRef/>
      </w:r>
      <w:r>
        <w:t xml:space="preserve"> Adapté d’outil Audit de cas d’International Rescue Committee.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26CC7" w14:textId="77777777" w:rsidR="00FE4200" w:rsidRDefault="00FE4200">
      <w:pPr>
        <w:spacing w:after="0" w:line="240" w:lineRule="auto"/>
      </w:pPr>
      <w:r>
        <w:separator/>
      </w:r>
    </w:p>
  </w:footnote>
  <w:footnote w:type="continuationSeparator" w:id="0">
    <w:p w14:paraId="14610AA8" w14:textId="77777777" w:rsidR="00FE4200" w:rsidRDefault="00FE42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B207D"/>
    <w:multiLevelType w:val="hybridMultilevel"/>
    <w:tmpl w:val="0CB24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D6731E8"/>
    <w:multiLevelType w:val="hybridMultilevel"/>
    <w:tmpl w:val="BE2E5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B86"/>
    <w:rsid w:val="0000564C"/>
    <w:rsid w:val="00035103"/>
    <w:rsid w:val="00070506"/>
    <w:rsid w:val="000E642B"/>
    <w:rsid w:val="0010727F"/>
    <w:rsid w:val="00184011"/>
    <w:rsid w:val="001976C4"/>
    <w:rsid w:val="001A2761"/>
    <w:rsid w:val="00242F52"/>
    <w:rsid w:val="00282C35"/>
    <w:rsid w:val="002D7A14"/>
    <w:rsid w:val="003437CC"/>
    <w:rsid w:val="00484FFE"/>
    <w:rsid w:val="004A7447"/>
    <w:rsid w:val="0051778D"/>
    <w:rsid w:val="00555805"/>
    <w:rsid w:val="005861A2"/>
    <w:rsid w:val="00634983"/>
    <w:rsid w:val="00691C96"/>
    <w:rsid w:val="0071099C"/>
    <w:rsid w:val="00725717"/>
    <w:rsid w:val="0075110A"/>
    <w:rsid w:val="007716F9"/>
    <w:rsid w:val="00772C0E"/>
    <w:rsid w:val="008557A6"/>
    <w:rsid w:val="00871CAA"/>
    <w:rsid w:val="008D5D5A"/>
    <w:rsid w:val="0090437A"/>
    <w:rsid w:val="00945B16"/>
    <w:rsid w:val="00977FC6"/>
    <w:rsid w:val="009E58BF"/>
    <w:rsid w:val="009E66AF"/>
    <w:rsid w:val="00A13ADE"/>
    <w:rsid w:val="00A72592"/>
    <w:rsid w:val="00B94385"/>
    <w:rsid w:val="00BA3B44"/>
    <w:rsid w:val="00BB6642"/>
    <w:rsid w:val="00C56C5D"/>
    <w:rsid w:val="00CB6CF0"/>
    <w:rsid w:val="00CE6951"/>
    <w:rsid w:val="00D174EB"/>
    <w:rsid w:val="00D7705E"/>
    <w:rsid w:val="00D93B86"/>
    <w:rsid w:val="00E37774"/>
    <w:rsid w:val="00ED3CB9"/>
    <w:rsid w:val="00EF2D3B"/>
    <w:rsid w:val="00F40878"/>
    <w:rsid w:val="00FE3606"/>
    <w:rsid w:val="00FE4200"/>
    <w:rsid w:val="023655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5A8162"/>
  <w15:docId w15:val="{BC8BBD1A-C019-4AA1-AD27-B4084FEBE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color w:val="000000"/>
        <w:sz w:val="22"/>
        <w:szCs w:val="22"/>
        <w:lang w:val="fr-FR"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spacing w:before="480"/>
      <w:outlineLvl w:val="0"/>
    </w:pPr>
    <w:rPr>
      <w:b/>
      <w:color w:val="345A8A"/>
      <w:sz w:val="32"/>
      <w:szCs w:val="32"/>
    </w:rPr>
  </w:style>
  <w:style w:type="paragraph" w:styleId="Heading2">
    <w:name w:val="heading 2"/>
    <w:basedOn w:val="Normal"/>
    <w:next w:val="Normal"/>
    <w:pPr>
      <w:spacing w:before="200"/>
      <w:outlineLvl w:val="1"/>
    </w:pPr>
    <w:rPr>
      <w:b/>
      <w:color w:val="4F81BD"/>
      <w:sz w:val="26"/>
      <w:szCs w:val="26"/>
    </w:rPr>
  </w:style>
  <w:style w:type="paragraph" w:styleId="Heading3">
    <w:name w:val="heading 3"/>
    <w:basedOn w:val="Normal"/>
    <w:next w:val="Normal"/>
    <w:pPr>
      <w:spacing w:before="200"/>
      <w:outlineLvl w:val="2"/>
    </w:pPr>
    <w:rPr>
      <w:b/>
      <w:color w:val="4F81BD"/>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color w:val="17365D"/>
      <w:sz w:val="52"/>
      <w:szCs w:val="52"/>
    </w:rPr>
  </w:style>
  <w:style w:type="paragraph" w:styleId="Subtitle">
    <w:name w:val="Subtitle"/>
    <w:basedOn w:val="Normal"/>
    <w:next w:val="Normal"/>
    <w:rPr>
      <w:i/>
      <w:color w:val="4F81BD"/>
      <w:sz w:val="24"/>
      <w:szCs w:val="24"/>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71C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CA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71CAA"/>
    <w:rPr>
      <w:b/>
      <w:bCs/>
    </w:rPr>
  </w:style>
  <w:style w:type="character" w:customStyle="1" w:styleId="CommentSubjectChar">
    <w:name w:val="Comment Subject Char"/>
    <w:basedOn w:val="CommentTextChar"/>
    <w:link w:val="CommentSubject"/>
    <w:uiPriority w:val="99"/>
    <w:semiHidden/>
    <w:rsid w:val="00871CAA"/>
    <w:rPr>
      <w:b/>
      <w:bCs/>
      <w:sz w:val="20"/>
      <w:szCs w:val="20"/>
    </w:rPr>
  </w:style>
  <w:style w:type="paragraph" w:styleId="Revision">
    <w:name w:val="Revision"/>
    <w:hidden/>
    <w:uiPriority w:val="99"/>
    <w:semiHidden/>
    <w:rsid w:val="00691C96"/>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table" w:styleId="TableGrid">
    <w:name w:val="Table Grid"/>
    <w:basedOn w:val="TableNormal"/>
    <w:uiPriority w:val="39"/>
    <w:rsid w:val="009E5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7447"/>
    <w:pPr>
      <w:ind w:left="720"/>
      <w:contextualSpacing/>
    </w:pPr>
  </w:style>
  <w:style w:type="paragraph" w:styleId="EndnoteText">
    <w:name w:val="endnote text"/>
    <w:basedOn w:val="Normal"/>
    <w:link w:val="EndnoteTextChar"/>
    <w:uiPriority w:val="99"/>
    <w:semiHidden/>
    <w:unhideWhenUsed/>
    <w:rsid w:val="000E642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642B"/>
    <w:rPr>
      <w:sz w:val="20"/>
      <w:szCs w:val="20"/>
    </w:rPr>
  </w:style>
  <w:style w:type="character" w:styleId="EndnoteReference">
    <w:name w:val="endnote reference"/>
    <w:basedOn w:val="DefaultParagraphFont"/>
    <w:uiPriority w:val="99"/>
    <w:semiHidden/>
    <w:unhideWhenUsed/>
    <w:rsid w:val="000E642B"/>
    <w:rPr>
      <w:vertAlign w:val="superscript"/>
    </w:rPr>
  </w:style>
  <w:style w:type="paragraph" w:styleId="Header">
    <w:name w:val="header"/>
    <w:basedOn w:val="Normal"/>
    <w:link w:val="HeaderChar"/>
    <w:uiPriority w:val="99"/>
    <w:unhideWhenUsed/>
    <w:rsid w:val="00E37774"/>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E37774"/>
    <w:rPr>
      <w:sz w:val="18"/>
      <w:szCs w:val="18"/>
    </w:rPr>
  </w:style>
  <w:style w:type="paragraph" w:styleId="Footer">
    <w:name w:val="footer"/>
    <w:basedOn w:val="Normal"/>
    <w:link w:val="FooterChar"/>
    <w:uiPriority w:val="99"/>
    <w:unhideWhenUsed/>
    <w:rsid w:val="00E37774"/>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E3777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CA50B-5DB9-42A4-BC46-0A2CC3976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756</Words>
  <Characters>4311</Characters>
  <Application>Microsoft Office Word</Application>
  <DocSecurity>0</DocSecurity>
  <Lines>35</Lines>
  <Paragraphs>10</Paragraphs>
  <ScaleCrop>false</ScaleCrop>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Fitzgerald</dc:creator>
  <cp:lastModifiedBy>Jennifer Parsons</cp:lastModifiedBy>
  <cp:revision>14</cp:revision>
  <cp:lastPrinted>2018-07-16T14:03:00Z</cp:lastPrinted>
  <dcterms:created xsi:type="dcterms:W3CDTF">2017-10-27T19:49:00Z</dcterms:created>
  <dcterms:modified xsi:type="dcterms:W3CDTF">2018-09-18T18:05:00Z</dcterms:modified>
</cp:coreProperties>
</file>