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F653C" w14:textId="237E16DD" w:rsidR="00000D15" w:rsidRDefault="00911037">
      <w:pPr>
        <w:widowControl w:val="0"/>
        <w:spacing w:line="276" w:lineRule="auto"/>
        <w:rPr>
          <w:rFonts w:ascii="Arial" w:eastAsia="Arial" w:hAnsi="Arial" w:cs="Arial"/>
          <w:sz w:val="22"/>
          <w:szCs w:val="22"/>
        </w:rPr>
      </w:pPr>
      <w:bookmarkStart w:id="0" w:name="_GoBack"/>
      <w:bookmarkEnd w:id="0"/>
      <w:r>
        <w:rPr>
          <w:noProof/>
          <w:lang w:val="en-US" w:eastAsia="zh-CN"/>
        </w:rPr>
        <w:drawing>
          <wp:anchor distT="0" distB="0" distL="114300" distR="114300" simplePos="0" relativeHeight="251659264" behindDoc="0" locked="0" layoutInCell="1" allowOverlap="1" wp14:anchorId="373FDED3" wp14:editId="14C9E9E3">
            <wp:simplePos x="0" y="0"/>
            <wp:positionH relativeFrom="margin">
              <wp:posOffset>5143500</wp:posOffset>
            </wp:positionH>
            <wp:positionV relativeFrom="margin">
              <wp:posOffset>-692150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08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14:paraId="7F594D51" w14:textId="77777777" w:rsidTr="10452EA4">
        <w:tc>
          <w:tcPr>
            <w:tcW w:w="9350" w:type="dxa"/>
            <w:shd w:val="clear" w:color="auto" w:fill="D9D9D9" w:themeFill="background1" w:themeFillShade="D9"/>
          </w:tcPr>
          <w:p w14:paraId="17B35937" w14:textId="77777777" w:rsidR="00000D15" w:rsidRDefault="10452EA4" w:rsidP="10452EA4">
            <w:pPr>
              <w:tabs>
                <w:tab w:val="left" w:pos="6750"/>
              </w:tabs>
              <w:jc w:val="center"/>
              <w:rPr>
                <w:b/>
                <w:bCs/>
                <w:sz w:val="22"/>
                <w:szCs w:val="22"/>
              </w:rPr>
            </w:pPr>
            <w:r>
              <w:rPr>
                <w:b/>
                <w:bCs/>
                <w:sz w:val="22"/>
                <w:szCs w:val="22"/>
              </w:rPr>
              <w:t>Dossier de réunion de gestion de cas</w:t>
            </w:r>
          </w:p>
          <w:p w14:paraId="1D9885FF" w14:textId="65B624EC" w:rsidR="00954477" w:rsidRDefault="00954477" w:rsidP="00954477">
            <w:pPr>
              <w:tabs>
                <w:tab w:val="left" w:pos="6750"/>
              </w:tabs>
              <w:jc w:val="center"/>
              <w:rPr>
                <w:b/>
                <w:sz w:val="22"/>
                <w:szCs w:val="22"/>
              </w:rPr>
            </w:pPr>
          </w:p>
        </w:tc>
      </w:tr>
    </w:tbl>
    <w:p w14:paraId="1FF819C8" w14:textId="77777777" w:rsidR="00000D15" w:rsidRPr="0097653E" w:rsidRDefault="00000D15">
      <w:pPr>
        <w:rPr>
          <w:rFonts w:asciiTheme="minorHAnsi" w:hAnsiTheme="minorHAnsi"/>
          <w:b/>
          <w:color w:val="auto"/>
          <w:sz w:val="22"/>
          <w:szCs w:val="22"/>
        </w:rPr>
      </w:pPr>
    </w:p>
    <w:p w14:paraId="0C01E327" w14:textId="77777777" w:rsidR="00000D15" w:rsidRPr="0097653E" w:rsidRDefault="00000D15">
      <w:pPr>
        <w:jc w:val="both"/>
        <w:rPr>
          <w:rFonts w:asciiTheme="minorHAnsi" w:hAnsiTheme="minorHAnsi"/>
          <w:b/>
          <w:color w:val="auto"/>
          <w:sz w:val="22"/>
          <w:szCs w:val="22"/>
        </w:rPr>
      </w:pPr>
    </w:p>
    <w:p w14:paraId="3F740C4F" w14:textId="60315FD8" w:rsidR="00000D15" w:rsidRPr="009121D2" w:rsidRDefault="10452EA4" w:rsidP="10452EA4">
      <w:pPr>
        <w:jc w:val="both"/>
        <w:rPr>
          <w:rFonts w:asciiTheme="minorHAnsi" w:hAnsiTheme="minorHAnsi"/>
          <w:color w:val="auto"/>
          <w:sz w:val="22"/>
          <w:szCs w:val="22"/>
        </w:rPr>
      </w:pPr>
      <w:r>
        <w:rPr>
          <w:rFonts w:asciiTheme="minorHAnsi" w:hAnsiTheme="minorHAnsi"/>
          <w:b/>
          <w:bCs/>
          <w:color w:val="auto"/>
          <w:sz w:val="22"/>
          <w:szCs w:val="22"/>
        </w:rPr>
        <w:t>Définition </w:t>
      </w:r>
      <w:r w:rsidRPr="00014544">
        <w:rPr>
          <w:rFonts w:asciiTheme="minorHAnsi" w:hAnsiTheme="minorHAnsi"/>
          <w:b/>
          <w:bCs/>
          <w:color w:val="auto"/>
          <w:sz w:val="22"/>
          <w:szCs w:val="22"/>
        </w:rPr>
        <w:t>:</w:t>
      </w:r>
      <w:r>
        <w:rPr>
          <w:rFonts w:asciiTheme="minorHAnsi" w:hAnsiTheme="minorHAnsi"/>
          <w:color w:val="auto"/>
          <w:sz w:val="22"/>
          <w:szCs w:val="22"/>
        </w:rPr>
        <w:t xml:space="preserve"> Les réunions de gestion de cas (ou les réunions de « supervision de groupe ») sont des rencontres régulières entre le superviseur et l’équipe de gestion de cas, permettant d’aborder les fonctions de redevabilité/d’administration, les fonctions de formation/développement professionnel, et les fonctions de soutien de la supervision (elles </w:t>
      </w:r>
      <w:r>
        <w:rPr>
          <w:rFonts w:asciiTheme="minorHAnsi" w:hAnsiTheme="minorHAnsi"/>
          <w:i/>
          <w:iCs/>
          <w:color w:val="auto"/>
          <w:sz w:val="22"/>
          <w:szCs w:val="22"/>
          <w:u w:val="single"/>
        </w:rPr>
        <w:t>ne doivent pas</w:t>
      </w:r>
      <w:r>
        <w:rPr>
          <w:rFonts w:asciiTheme="minorHAnsi" w:hAnsiTheme="minorHAnsi"/>
          <w:color w:val="auto"/>
          <w:sz w:val="22"/>
          <w:szCs w:val="22"/>
        </w:rPr>
        <w:t xml:space="preserve"> remplacer la supervision individuelle.) </w:t>
      </w:r>
    </w:p>
    <w:p w14:paraId="620914EE" w14:textId="77777777" w:rsidR="00000D15" w:rsidRPr="009121D2" w:rsidRDefault="00000D15">
      <w:pPr>
        <w:jc w:val="both"/>
        <w:rPr>
          <w:rFonts w:asciiTheme="minorHAnsi" w:hAnsiTheme="minorHAnsi"/>
          <w:color w:val="auto"/>
          <w:sz w:val="22"/>
          <w:szCs w:val="22"/>
        </w:rPr>
      </w:pPr>
    </w:p>
    <w:p w14:paraId="1174CD53" w14:textId="429C5E8D" w:rsidR="00000D15" w:rsidRPr="009121D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 xml:space="preserve">Objectif de l’outil : </w:t>
      </w:r>
      <w:r>
        <w:rPr>
          <w:rFonts w:asciiTheme="minorHAnsi" w:hAnsiTheme="minorHAnsi"/>
          <w:color w:val="auto"/>
          <w:sz w:val="22"/>
          <w:szCs w:val="22"/>
        </w:rPr>
        <w:t xml:space="preserve">Le superviseur doit utiliser le dossier de réunion de gestion de cas pour effectuer un suivi des progrès réalisés avec les travailleurs sociaux au cours de chaque période. L’outil aide le superviseur à animer un dialogue constructif avec les travailleurs sociaux à propos des fonctions de la supervision. </w:t>
      </w:r>
      <w:r>
        <w:rPr>
          <w:sz w:val="22"/>
          <w:szCs w:val="22"/>
        </w:rPr>
        <w:t>L’outil permet également aux superviseurs de faire un compte-rendu de cette réunion pour constituer un dossier répertoriant les problèmes et les mesures à prendre.</w:t>
      </w:r>
    </w:p>
    <w:p w14:paraId="48F59AFB" w14:textId="77777777" w:rsidR="00000D15" w:rsidRPr="009121D2" w:rsidRDefault="00000D15">
      <w:pPr>
        <w:jc w:val="both"/>
        <w:rPr>
          <w:rFonts w:asciiTheme="minorHAnsi" w:hAnsiTheme="minorHAnsi"/>
          <w:b/>
          <w:color w:val="auto"/>
          <w:sz w:val="22"/>
          <w:szCs w:val="22"/>
        </w:rPr>
      </w:pPr>
    </w:p>
    <w:p w14:paraId="11476102" w14:textId="738D3C33" w:rsidR="00000D15" w:rsidRPr="009121D2" w:rsidRDefault="10452EA4" w:rsidP="10452EA4">
      <w:pPr>
        <w:jc w:val="both"/>
        <w:rPr>
          <w:rFonts w:asciiTheme="minorHAnsi" w:hAnsiTheme="minorHAnsi"/>
          <w:color w:val="auto"/>
          <w:sz w:val="22"/>
          <w:szCs w:val="22"/>
        </w:rPr>
      </w:pPr>
      <w:r>
        <w:rPr>
          <w:rFonts w:asciiTheme="minorHAnsi" w:hAnsiTheme="minorHAnsi"/>
          <w:b/>
          <w:bCs/>
          <w:color w:val="auto"/>
          <w:sz w:val="22"/>
          <w:szCs w:val="22"/>
        </w:rPr>
        <w:t>Fréquence/Durée :</w:t>
      </w:r>
      <w:r>
        <w:rPr>
          <w:rFonts w:asciiTheme="minorHAnsi" w:hAnsiTheme="minorHAnsi"/>
          <w:color w:val="auto"/>
          <w:sz w:val="22"/>
          <w:szCs w:val="22"/>
        </w:rPr>
        <w:t xml:space="preserve"> </w:t>
      </w:r>
      <w:r>
        <w:rPr>
          <w:sz w:val="22"/>
          <w:szCs w:val="22"/>
        </w:rPr>
        <w:t xml:space="preserve">Doit avoir lieu une fois toutes les 1 à 2 semaines à la même heure, et durer au moins une heure, selon le contexte et les besoins. Il est recommandé qu’une fois par mois, le superviseur organise une réunion plus longue (d’une heure supplémentaire à une demi-journée) pour se concentrer sur le développement des compétences ou sur la santé et le bien-être du personnel.* </w:t>
      </w:r>
    </w:p>
    <w:p w14:paraId="7A614AB0" w14:textId="77777777" w:rsidR="00000D15" w:rsidRPr="009121D2" w:rsidRDefault="00000D15">
      <w:pPr>
        <w:jc w:val="both"/>
        <w:rPr>
          <w:rFonts w:asciiTheme="minorHAnsi" w:hAnsiTheme="minorHAnsi"/>
          <w:color w:val="auto"/>
          <w:sz w:val="22"/>
          <w:szCs w:val="22"/>
        </w:rPr>
      </w:pPr>
    </w:p>
    <w:p w14:paraId="34CFB960" w14:textId="50AD12C3" w:rsidR="009312DB" w:rsidRDefault="10452EA4" w:rsidP="10452EA4">
      <w:pPr>
        <w:jc w:val="both"/>
        <w:rPr>
          <w:sz w:val="22"/>
          <w:szCs w:val="22"/>
        </w:rPr>
      </w:pPr>
      <w:r>
        <w:rPr>
          <w:rFonts w:asciiTheme="minorHAnsi" w:hAnsiTheme="minorHAnsi"/>
          <w:b/>
          <w:bCs/>
          <w:color w:val="auto"/>
          <w:sz w:val="22"/>
          <w:szCs w:val="22"/>
        </w:rPr>
        <w:t xml:space="preserve">Orientation : </w:t>
      </w:r>
      <w:r>
        <w:rPr>
          <w:sz w:val="22"/>
          <w:szCs w:val="22"/>
        </w:rPr>
        <w:t>Les superviseurs de gestion de cas sont chargés de planifier et d’organiser régulièrement des réunions de gestion de cas avec leurs équipes. Les travailleurs sociaux sont tenus de réaliser la préparation nécessaire et de participer pleinement à la réunion. Le superviseur doit animer des discussions collaboratives entre les membres de l’équipe et encourager les travailleurs sociaux à faire des suggestions et à animer la discussion.</w:t>
      </w:r>
    </w:p>
    <w:p w14:paraId="33E9DD73" w14:textId="77777777" w:rsidR="000820DD" w:rsidRDefault="000820DD">
      <w:pPr>
        <w:jc w:val="both"/>
        <w:rPr>
          <w:sz w:val="22"/>
          <w:szCs w:val="22"/>
        </w:rPr>
      </w:pPr>
    </w:p>
    <w:p w14:paraId="54B9F828" w14:textId="3388EBA7" w:rsidR="009312DB" w:rsidRPr="0097653E" w:rsidRDefault="10452EA4" w:rsidP="10452EA4">
      <w:pPr>
        <w:jc w:val="both"/>
        <w:rPr>
          <w:rFonts w:asciiTheme="minorHAnsi" w:hAnsiTheme="minorHAnsi"/>
          <w:color w:val="auto"/>
          <w:sz w:val="22"/>
          <w:szCs w:val="22"/>
        </w:rPr>
      </w:pPr>
      <w:r>
        <w:rPr>
          <w:rFonts w:asciiTheme="minorHAnsi" w:hAnsiTheme="minorHAnsi"/>
          <w:color w:val="auto"/>
          <w:sz w:val="22"/>
          <w:szCs w:val="22"/>
        </w:rPr>
        <w:t>Les réunions de gestion de cas doivent se tenir dans un endroit isolé afin d’en garantir la confidentialité. L’équipe de gestion de cas doit s’entendre sur le fait que ce qui se dit sur les cas pendant la réunion ne doit pas être partagé à l’extérieur. Les travailleurs sociaux doivent être encouragés à parler des cas difficiles, mais éviter de présenter des informations permettant d’identifier des personnes, en respectant le principe de « besoin de savoir ».</w:t>
      </w:r>
      <w:r w:rsidR="00014544">
        <w:rPr>
          <w:rFonts w:asciiTheme="minorHAnsi" w:hAnsiTheme="minorHAnsi"/>
          <w:color w:val="auto"/>
          <w:sz w:val="22"/>
          <w:szCs w:val="22"/>
        </w:rPr>
        <w:t xml:space="preserve"> </w:t>
      </w:r>
    </w:p>
    <w:p w14:paraId="4E1580ED" w14:textId="1373BBAC" w:rsidR="00AA20E5" w:rsidRDefault="10452EA4" w:rsidP="10452EA4">
      <w:pPr>
        <w:jc w:val="both"/>
        <w:rPr>
          <w:sz w:val="22"/>
          <w:szCs w:val="22"/>
        </w:rPr>
      </w:pPr>
      <w:r>
        <w:rPr>
          <w:sz w:val="22"/>
          <w:szCs w:val="22"/>
          <w:u w:val="single"/>
        </w:rPr>
        <w:t>*Réunions de gestion de cas élargie</w:t>
      </w:r>
      <w:r>
        <w:rPr>
          <w:sz w:val="22"/>
          <w:szCs w:val="22"/>
        </w:rPr>
        <w:t xml:space="preserve"> : Une session prolongée doit avoir lieu au moins une fois par mois, en fonction des capacités ou des besoins en bien-être des travailleurs sociaux. Les sujets peuvent inclure : </w:t>
      </w:r>
    </w:p>
    <w:p w14:paraId="08917138" w14:textId="73A70D2D" w:rsidR="003008AB" w:rsidRPr="00014544"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spacing w:val="-2"/>
          <w:sz w:val="22"/>
          <w:szCs w:val="22"/>
        </w:rPr>
      </w:pPr>
      <w:r w:rsidRPr="00014544">
        <w:rPr>
          <w:b/>
          <w:bCs/>
          <w:spacing w:val="-2"/>
          <w:sz w:val="22"/>
          <w:szCs w:val="22"/>
          <w:u w:val="single"/>
        </w:rPr>
        <w:t>Session thématique :</w:t>
      </w:r>
      <w:r w:rsidRPr="00014544">
        <w:rPr>
          <w:spacing w:val="-2"/>
          <w:sz w:val="22"/>
          <w:szCs w:val="22"/>
        </w:rPr>
        <w:t xml:space="preserve"> Le superviseur en gestion de cas doit choisir le sujet à l’avance (d’après les besoins en support technique ou en bien-être qu’il/elle identifie comme une priorité) ou demander aux travailleurs sociaux d’indiquer les sujets pour lesquels ils souhaitent un soutien. (Conseil : référez-vous au Manuel de formation inter-agences en gestion de cas pour établir ce point)</w:t>
      </w:r>
    </w:p>
    <w:p w14:paraId="64A4FA9E" w14:textId="3E2B9E84" w:rsidR="003008AB"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Pr>
          <w:b/>
          <w:bCs/>
          <w:sz w:val="22"/>
          <w:szCs w:val="22"/>
          <w:u w:val="single"/>
        </w:rPr>
        <w:t>Discussion des cas :</w:t>
      </w:r>
      <w:r w:rsidR="00014544">
        <w:rPr>
          <w:sz w:val="22"/>
          <w:szCs w:val="22"/>
        </w:rPr>
        <w:t xml:space="preserve"> </w:t>
      </w:r>
      <w:r>
        <w:rPr>
          <w:sz w:val="22"/>
          <w:szCs w:val="22"/>
        </w:rPr>
        <w:t xml:space="preserve">Le superviseur en gestion de cas demande à un travailleur social de discuter d’un cas intéressant ou stimulant, et dont les autres peuvent tirer des enseignements, selon le format décrit dans le </w:t>
      </w:r>
      <w:r>
        <w:rPr>
          <w:b/>
          <w:bCs/>
          <w:sz w:val="22"/>
          <w:szCs w:val="22"/>
        </w:rPr>
        <w:t>Guide de discussion de cas de PE (voir annexe)</w:t>
      </w:r>
      <w:r w:rsidRPr="00014544">
        <w:rPr>
          <w:sz w:val="22"/>
          <w:szCs w:val="22"/>
        </w:rPr>
        <w:t>.</w:t>
      </w:r>
    </w:p>
    <w:p w14:paraId="576EBAE8" w14:textId="30EFC5F0" w:rsidR="003008AB" w:rsidRPr="003008AB" w:rsidRDefault="10452EA4" w:rsidP="10452EA4">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Pr>
          <w:b/>
          <w:bCs/>
          <w:sz w:val="22"/>
          <w:szCs w:val="22"/>
          <w:u w:val="single"/>
        </w:rPr>
        <w:t>Conférencier invité :</w:t>
      </w:r>
      <w:r>
        <w:rPr>
          <w:sz w:val="22"/>
          <w:szCs w:val="22"/>
        </w:rPr>
        <w:t xml:space="preserve"> Le superviseur en gestion de cas peut inviter des experts techniques à présenter des informations sur une question spécifique de la protection de l’enfant ou une compétence à développer au sein de l’équipe. Les superviseurs peuvent également demander une présentation par un représentant d’un service communautaire (juridique, policier, médical, </w:t>
      </w:r>
      <w:r w:rsidR="00AE3716">
        <w:rPr>
          <w:sz w:val="22"/>
          <w:szCs w:val="22"/>
        </w:rPr>
        <w:t>d’enregistrement</w:t>
      </w:r>
      <w:r>
        <w:rPr>
          <w:sz w:val="22"/>
          <w:szCs w:val="22"/>
        </w:rPr>
        <w:t xml:space="preserve">, etc.). </w:t>
      </w:r>
    </w:p>
    <w:p w14:paraId="2B81995B" w14:textId="77777777" w:rsidR="00000D15" w:rsidRPr="0097653E" w:rsidRDefault="00000D15">
      <w:pPr>
        <w:jc w:val="both"/>
        <w:rPr>
          <w:rFonts w:asciiTheme="minorHAnsi" w:hAnsiTheme="minorHAnsi"/>
          <w:color w:val="auto"/>
          <w:sz w:val="22"/>
          <w:szCs w:val="22"/>
        </w:rPr>
      </w:pPr>
    </w:p>
    <w:p w14:paraId="2EF5BD75" w14:textId="77777777" w:rsidR="00000D15" w:rsidRPr="0097653E" w:rsidRDefault="00000D15">
      <w:pPr>
        <w:jc w:val="both"/>
        <w:rPr>
          <w:rFonts w:asciiTheme="minorHAnsi" w:hAnsiTheme="minorHAnsi"/>
          <w:color w:val="auto"/>
          <w:sz w:val="22"/>
          <w:szCs w:val="22"/>
        </w:rPr>
      </w:pPr>
      <w:bookmarkStart w:id="1" w:name="_gjdgxs"/>
      <w:bookmarkEnd w:id="1"/>
    </w:p>
    <w:tbl>
      <w:tblPr>
        <w:tblStyle w:val="a0"/>
        <w:tblpPr w:leftFromText="180" w:rightFromText="180" w:vertAnchor="text" w:horzAnchor="page" w:tblpX="8576" w:tblpY="-734"/>
        <w:tblW w:w="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tblGrid>
      <w:tr w:rsidR="00364055" w:rsidRPr="00364055" w14:paraId="1067C19F" w14:textId="77777777" w:rsidTr="10452EA4">
        <w:trPr>
          <w:trHeight w:val="290"/>
        </w:trPr>
        <w:tc>
          <w:tcPr>
            <w:tcW w:w="2888" w:type="dxa"/>
            <w:shd w:val="clear" w:color="auto" w:fill="E7E6E6" w:themeFill="background2"/>
          </w:tcPr>
          <w:p w14:paraId="5686E764" w14:textId="7777777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Nom du superviseur</w:t>
            </w:r>
          </w:p>
        </w:tc>
      </w:tr>
      <w:tr w:rsidR="00364055" w:rsidRPr="00364055" w14:paraId="5CA371FA" w14:textId="77777777" w:rsidTr="10452EA4">
        <w:trPr>
          <w:trHeight w:val="290"/>
        </w:trPr>
        <w:tc>
          <w:tcPr>
            <w:tcW w:w="2888" w:type="dxa"/>
            <w:shd w:val="clear" w:color="auto" w:fill="auto"/>
          </w:tcPr>
          <w:p w14:paraId="777B9F84" w14:textId="77777777" w:rsidR="00364055" w:rsidRPr="00364055" w:rsidRDefault="00364055" w:rsidP="00364055">
            <w:pPr>
              <w:rPr>
                <w:rFonts w:asciiTheme="minorHAnsi" w:hAnsiTheme="minorHAnsi"/>
                <w:b/>
                <w:color w:val="auto"/>
                <w:sz w:val="22"/>
                <w:szCs w:val="22"/>
              </w:rPr>
            </w:pPr>
          </w:p>
        </w:tc>
      </w:tr>
      <w:tr w:rsidR="00364055" w:rsidRPr="00364055" w14:paraId="1807A694" w14:textId="77777777" w:rsidTr="10452EA4">
        <w:trPr>
          <w:trHeight w:val="290"/>
        </w:trPr>
        <w:tc>
          <w:tcPr>
            <w:tcW w:w="2888" w:type="dxa"/>
            <w:shd w:val="clear" w:color="auto" w:fill="E7E6E6" w:themeFill="background2"/>
          </w:tcPr>
          <w:p w14:paraId="162B5925" w14:textId="25A75A8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 xml:space="preserve">Date </w:t>
            </w:r>
          </w:p>
        </w:tc>
      </w:tr>
      <w:tr w:rsidR="00364055" w:rsidRPr="00364055" w14:paraId="7A4D01BC" w14:textId="77777777" w:rsidTr="10452EA4">
        <w:trPr>
          <w:trHeight w:val="290"/>
        </w:trPr>
        <w:tc>
          <w:tcPr>
            <w:tcW w:w="2888" w:type="dxa"/>
            <w:shd w:val="clear" w:color="auto" w:fill="auto"/>
          </w:tcPr>
          <w:p w14:paraId="3BD1CA5C" w14:textId="77777777" w:rsidR="00364055" w:rsidRPr="00364055" w:rsidRDefault="00364055" w:rsidP="00364055">
            <w:pPr>
              <w:rPr>
                <w:rFonts w:asciiTheme="minorHAnsi" w:hAnsiTheme="minorHAnsi"/>
                <w:b/>
                <w:color w:val="auto"/>
                <w:sz w:val="22"/>
                <w:szCs w:val="22"/>
              </w:rPr>
            </w:pPr>
          </w:p>
        </w:tc>
      </w:tr>
      <w:tr w:rsidR="00364055" w:rsidRPr="00364055" w14:paraId="385ED92D" w14:textId="77777777" w:rsidTr="10452EA4">
        <w:trPr>
          <w:trHeight w:val="290"/>
        </w:trPr>
        <w:tc>
          <w:tcPr>
            <w:tcW w:w="2888" w:type="dxa"/>
            <w:shd w:val="clear" w:color="auto" w:fill="E7E6E6" w:themeFill="background2"/>
          </w:tcPr>
          <w:p w14:paraId="5DCDB9D4" w14:textId="7777777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 xml:space="preserve">Travailleurs sociaux présents </w:t>
            </w:r>
          </w:p>
        </w:tc>
      </w:tr>
      <w:tr w:rsidR="00364055" w:rsidRPr="00364055" w14:paraId="0B10695C" w14:textId="77777777" w:rsidTr="10452EA4">
        <w:trPr>
          <w:trHeight w:val="450"/>
        </w:trPr>
        <w:tc>
          <w:tcPr>
            <w:tcW w:w="2888" w:type="dxa"/>
            <w:shd w:val="clear" w:color="auto" w:fill="auto"/>
          </w:tcPr>
          <w:p w14:paraId="77489316" w14:textId="77777777" w:rsidR="00364055" w:rsidRPr="00364055" w:rsidRDefault="00364055" w:rsidP="00364055">
            <w:pPr>
              <w:rPr>
                <w:rFonts w:asciiTheme="minorHAnsi" w:hAnsiTheme="minorHAnsi"/>
                <w:b/>
                <w:color w:val="auto"/>
                <w:sz w:val="22"/>
                <w:szCs w:val="22"/>
              </w:rPr>
            </w:pPr>
          </w:p>
          <w:p w14:paraId="363FB4B2" w14:textId="77777777" w:rsidR="00364055" w:rsidRPr="00364055" w:rsidRDefault="00364055" w:rsidP="00364055">
            <w:pPr>
              <w:rPr>
                <w:rFonts w:asciiTheme="minorHAnsi" w:hAnsiTheme="minorHAnsi"/>
                <w:b/>
                <w:color w:val="auto"/>
                <w:sz w:val="22"/>
                <w:szCs w:val="22"/>
              </w:rPr>
            </w:pPr>
          </w:p>
          <w:p w14:paraId="4503D453" w14:textId="77777777" w:rsidR="00364055" w:rsidRPr="00364055" w:rsidRDefault="00364055" w:rsidP="00364055">
            <w:pPr>
              <w:rPr>
                <w:rFonts w:asciiTheme="minorHAnsi" w:hAnsiTheme="minorHAnsi"/>
                <w:b/>
                <w:color w:val="auto"/>
                <w:sz w:val="22"/>
                <w:szCs w:val="22"/>
              </w:rPr>
            </w:pPr>
          </w:p>
          <w:p w14:paraId="29BE780E" w14:textId="77777777" w:rsidR="00364055" w:rsidRPr="00364055" w:rsidRDefault="00364055" w:rsidP="00364055">
            <w:pPr>
              <w:rPr>
                <w:rFonts w:asciiTheme="minorHAnsi" w:hAnsiTheme="minorHAnsi"/>
                <w:b/>
                <w:color w:val="auto"/>
                <w:sz w:val="22"/>
                <w:szCs w:val="22"/>
              </w:rPr>
            </w:pPr>
          </w:p>
        </w:tc>
      </w:tr>
    </w:tbl>
    <w:p w14:paraId="6D3C184B" w14:textId="77777777" w:rsidR="00364055" w:rsidRPr="00364055" w:rsidRDefault="00364055" w:rsidP="00364055">
      <w:pPr>
        <w:ind w:left="360"/>
        <w:rPr>
          <w:rFonts w:asciiTheme="minorHAnsi" w:hAnsiTheme="minorHAnsi"/>
          <w:b/>
          <w:color w:val="auto"/>
          <w:sz w:val="28"/>
          <w:szCs w:val="28"/>
        </w:rPr>
      </w:pPr>
    </w:p>
    <w:p w14:paraId="24720FD7" w14:textId="79861F44" w:rsidR="00000D15" w:rsidRPr="0097653E" w:rsidRDefault="10452EA4" w:rsidP="10452EA4">
      <w:pPr>
        <w:rPr>
          <w:rFonts w:asciiTheme="minorHAnsi" w:hAnsiTheme="minorHAnsi"/>
          <w:b/>
          <w:bCs/>
          <w:color w:val="auto"/>
          <w:sz w:val="22"/>
          <w:szCs w:val="22"/>
        </w:rPr>
      </w:pPr>
      <w:r>
        <w:rPr>
          <w:rFonts w:asciiTheme="minorHAnsi" w:hAnsiTheme="minorHAnsi"/>
          <w:b/>
          <w:bCs/>
          <w:color w:val="auto"/>
          <w:sz w:val="28"/>
          <w:szCs w:val="28"/>
        </w:rPr>
        <w:t>Dossier de réunion de gestion de cas</w:t>
      </w:r>
    </w:p>
    <w:p w14:paraId="46D678E2" w14:textId="77777777" w:rsidR="00000D15" w:rsidRDefault="00000D15">
      <w:pPr>
        <w:ind w:left="360"/>
        <w:jc w:val="both"/>
        <w:rPr>
          <w:rFonts w:asciiTheme="minorHAnsi" w:hAnsiTheme="minorHAnsi"/>
          <w:color w:val="auto"/>
          <w:sz w:val="22"/>
          <w:szCs w:val="22"/>
        </w:rPr>
      </w:pPr>
    </w:p>
    <w:p w14:paraId="357CF60C" w14:textId="77777777" w:rsidR="00364055" w:rsidRDefault="00364055">
      <w:pPr>
        <w:ind w:left="360"/>
        <w:jc w:val="both"/>
        <w:rPr>
          <w:rFonts w:asciiTheme="minorHAnsi" w:hAnsiTheme="minorHAnsi"/>
          <w:color w:val="auto"/>
          <w:sz w:val="22"/>
          <w:szCs w:val="22"/>
        </w:rPr>
      </w:pPr>
    </w:p>
    <w:p w14:paraId="15F80D7E" w14:textId="77777777" w:rsidR="00364055" w:rsidRDefault="00364055">
      <w:pPr>
        <w:ind w:left="360"/>
        <w:jc w:val="both"/>
        <w:rPr>
          <w:rFonts w:asciiTheme="minorHAnsi" w:hAnsiTheme="minorHAnsi"/>
          <w:color w:val="auto"/>
          <w:sz w:val="22"/>
          <w:szCs w:val="22"/>
        </w:rPr>
      </w:pPr>
    </w:p>
    <w:p w14:paraId="1098F2C4" w14:textId="77777777" w:rsidR="00364055" w:rsidRPr="0097653E" w:rsidRDefault="00364055">
      <w:pPr>
        <w:ind w:left="360"/>
        <w:jc w:val="both"/>
        <w:rPr>
          <w:rFonts w:asciiTheme="minorHAnsi" w:hAnsiTheme="minorHAnsi"/>
          <w:color w:val="auto"/>
          <w:sz w:val="22"/>
          <w:szCs w:val="22"/>
        </w:rPr>
      </w:pPr>
    </w:p>
    <w:p w14:paraId="51368E1B" w14:textId="77777777" w:rsidR="00000D15" w:rsidRPr="0097653E" w:rsidRDefault="00000D15" w:rsidP="00F860AB">
      <w:pPr>
        <w:rPr>
          <w:rFonts w:asciiTheme="minorHAnsi" w:hAnsiTheme="minorHAnsi"/>
          <w:color w:val="auto"/>
          <w:sz w:val="22"/>
          <w:szCs w:val="22"/>
        </w:rPr>
      </w:pPr>
    </w:p>
    <w:p w14:paraId="34F67C3F" w14:textId="30CF7DF4" w:rsidR="00000D15" w:rsidRPr="0097653E" w:rsidRDefault="00F860AB" w:rsidP="00D26F88">
      <w:pPr>
        <w:rPr>
          <w:rFonts w:asciiTheme="minorHAnsi" w:hAnsiTheme="minorHAnsi"/>
          <w:color w:val="auto"/>
          <w:sz w:val="22"/>
          <w:szCs w:val="22"/>
        </w:rPr>
      </w:pPr>
      <w:r>
        <w:rPr>
          <w:rFonts w:asciiTheme="minorHAnsi" w:hAnsiTheme="minorHAnsi"/>
          <w:color w:val="auto"/>
          <w:sz w:val="22"/>
          <w:szCs w:val="22"/>
        </w:rPr>
        <w:t xml:space="preserve"> </w:t>
      </w: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268"/>
      </w:tblGrid>
      <w:tr w:rsidR="004A054B" w:rsidRPr="00BD0D32" w14:paraId="3BCBD78A" w14:textId="77777777" w:rsidTr="00014544">
        <w:trPr>
          <w:trHeight w:val="270"/>
        </w:trPr>
        <w:tc>
          <w:tcPr>
            <w:tcW w:w="5807" w:type="dxa"/>
            <w:shd w:val="clear" w:color="auto" w:fill="E7E6E6" w:themeFill="background2"/>
          </w:tcPr>
          <w:p w14:paraId="6F095FF0" w14:textId="0972BE54" w:rsidR="004A054B" w:rsidRPr="00BD0D3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Programme</w:t>
            </w:r>
          </w:p>
        </w:tc>
        <w:tc>
          <w:tcPr>
            <w:tcW w:w="4268" w:type="dxa"/>
            <w:shd w:val="clear" w:color="auto" w:fill="E7E6E6" w:themeFill="background2"/>
          </w:tcPr>
          <w:p w14:paraId="55B27F56" w14:textId="7FB874A0" w:rsidR="004A054B" w:rsidRPr="00BD0D3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Notes tirées de la discussion</w:t>
            </w:r>
          </w:p>
        </w:tc>
      </w:tr>
      <w:tr w:rsidR="004A054B" w:rsidRPr="00BD0D32" w14:paraId="2A8F64E2" w14:textId="77777777" w:rsidTr="00014544">
        <w:trPr>
          <w:trHeight w:val="1268"/>
        </w:trPr>
        <w:tc>
          <w:tcPr>
            <w:tcW w:w="5807" w:type="dxa"/>
          </w:tcPr>
          <w:p w14:paraId="1618A60C" w14:textId="79895D01" w:rsidR="004A054B" w:rsidRPr="00BD0D32" w:rsidRDefault="10452EA4" w:rsidP="10452EA4">
            <w:pPr>
              <w:contextualSpacing/>
              <w:rPr>
                <w:rFonts w:asciiTheme="minorHAnsi" w:hAnsiTheme="minorHAnsi"/>
                <w:b/>
                <w:bCs/>
                <w:color w:val="auto"/>
                <w:sz w:val="22"/>
                <w:szCs w:val="22"/>
              </w:rPr>
            </w:pPr>
            <w:r>
              <w:rPr>
                <w:rFonts w:asciiTheme="minorHAnsi" w:hAnsiTheme="minorHAnsi"/>
                <w:b/>
                <w:bCs/>
                <w:color w:val="auto"/>
                <w:sz w:val="22"/>
                <w:szCs w:val="22"/>
                <w:u w:val="single"/>
              </w:rPr>
              <w:t xml:space="preserve">Accueil, ouverture et mise </w:t>
            </w:r>
            <w:r w:rsidR="00AE3716">
              <w:rPr>
                <w:rFonts w:asciiTheme="minorHAnsi" w:hAnsiTheme="minorHAnsi"/>
                <w:b/>
                <w:bCs/>
                <w:color w:val="auto"/>
                <w:sz w:val="22"/>
                <w:szCs w:val="22"/>
                <w:u w:val="single"/>
              </w:rPr>
              <w:t>au</w:t>
            </w:r>
            <w:r>
              <w:rPr>
                <w:rFonts w:asciiTheme="minorHAnsi" w:hAnsiTheme="minorHAnsi"/>
                <w:b/>
                <w:bCs/>
                <w:color w:val="auto"/>
                <w:sz w:val="22"/>
                <w:szCs w:val="22"/>
                <w:u w:val="single"/>
              </w:rPr>
              <w:t xml:space="preserve"> point</w:t>
            </w:r>
          </w:p>
          <w:p w14:paraId="3A4E1835" w14:textId="34A2D3BE" w:rsidR="004A054B" w:rsidRPr="00BD0D32" w:rsidRDefault="10452EA4" w:rsidP="10452EA4">
            <w:pPr>
              <w:numPr>
                <w:ilvl w:val="0"/>
                <w:numId w:val="3"/>
              </w:numPr>
              <w:contextualSpacing/>
              <w:rPr>
                <w:rFonts w:asciiTheme="minorHAnsi" w:hAnsiTheme="minorHAnsi"/>
                <w:color w:val="auto"/>
                <w:sz w:val="22"/>
                <w:szCs w:val="22"/>
              </w:rPr>
            </w:pPr>
            <w:r>
              <w:rPr>
                <w:sz w:val="22"/>
                <w:szCs w:val="22"/>
              </w:rPr>
              <w:t>Le superviseur salue l’équipe (on peut réaliser une activité brise-glace ou de stimulation).</w:t>
            </w:r>
          </w:p>
          <w:p w14:paraId="109E68C8" w14:textId="0B4B3478" w:rsidR="004A054B" w:rsidRPr="00BD0D32" w:rsidRDefault="10452EA4" w:rsidP="10452EA4">
            <w:pPr>
              <w:numPr>
                <w:ilvl w:val="0"/>
                <w:numId w:val="3"/>
              </w:numPr>
              <w:contextualSpacing/>
              <w:rPr>
                <w:rFonts w:asciiTheme="minorHAnsi" w:hAnsiTheme="minorHAnsi"/>
                <w:color w:val="auto"/>
                <w:sz w:val="22"/>
                <w:szCs w:val="22"/>
              </w:rPr>
            </w:pPr>
            <w:r>
              <w:rPr>
                <w:rFonts w:asciiTheme="minorHAnsi" w:hAnsiTheme="minorHAnsi"/>
                <w:color w:val="auto"/>
                <w:sz w:val="22"/>
                <w:szCs w:val="22"/>
              </w:rPr>
              <w:t>L’ordre du jour est examiné et approuvé par l’équipe.</w:t>
            </w:r>
          </w:p>
          <w:p w14:paraId="007B4890" w14:textId="657D0322" w:rsidR="004A054B" w:rsidRPr="00BD0D32" w:rsidRDefault="10452EA4" w:rsidP="10452EA4">
            <w:pPr>
              <w:numPr>
                <w:ilvl w:val="0"/>
                <w:numId w:val="3"/>
              </w:numPr>
              <w:contextualSpacing/>
              <w:rPr>
                <w:color w:val="auto"/>
                <w:sz w:val="22"/>
                <w:szCs w:val="22"/>
              </w:rPr>
            </w:pPr>
            <w:r>
              <w:rPr>
                <w:rFonts w:asciiTheme="minorHAnsi" w:hAnsiTheme="minorHAnsi"/>
                <w:color w:val="auto"/>
                <w:sz w:val="22"/>
                <w:szCs w:val="22"/>
              </w:rPr>
              <w:t>Définissez ou examinez brièvement les « accords » de la réunion, notamment en ce qui concerne le partage d’information.</w:t>
            </w:r>
          </w:p>
        </w:tc>
        <w:tc>
          <w:tcPr>
            <w:tcW w:w="4268" w:type="dxa"/>
          </w:tcPr>
          <w:p w14:paraId="149B72CA" w14:textId="750D1A6B" w:rsidR="004A054B" w:rsidRPr="00BD0D32" w:rsidRDefault="004A054B">
            <w:pPr>
              <w:jc w:val="both"/>
              <w:rPr>
                <w:rFonts w:asciiTheme="minorHAnsi" w:hAnsiTheme="minorHAnsi"/>
                <w:color w:val="auto"/>
                <w:sz w:val="22"/>
                <w:szCs w:val="22"/>
              </w:rPr>
            </w:pPr>
          </w:p>
        </w:tc>
      </w:tr>
      <w:tr w:rsidR="004A054B" w:rsidRPr="00BD0D32" w14:paraId="63C3A04B" w14:textId="77777777" w:rsidTr="00014544">
        <w:trPr>
          <w:trHeight w:val="2150"/>
        </w:trPr>
        <w:tc>
          <w:tcPr>
            <w:tcW w:w="5807" w:type="dxa"/>
          </w:tcPr>
          <w:p w14:paraId="4F797BE3" w14:textId="4DC52746" w:rsidR="004A054B" w:rsidRPr="00BD0D32" w:rsidRDefault="10452EA4" w:rsidP="10452EA4">
            <w:pPr>
              <w:contextualSpacing/>
              <w:rPr>
                <w:rFonts w:asciiTheme="minorHAnsi" w:hAnsiTheme="minorHAnsi"/>
                <w:b/>
                <w:bCs/>
                <w:color w:val="auto"/>
                <w:sz w:val="22"/>
                <w:szCs w:val="22"/>
              </w:rPr>
            </w:pPr>
            <w:r>
              <w:rPr>
                <w:rFonts w:asciiTheme="minorHAnsi" w:hAnsiTheme="minorHAnsi"/>
                <w:b/>
                <w:bCs/>
                <w:color w:val="auto"/>
                <w:sz w:val="22"/>
                <w:szCs w:val="22"/>
                <w:u w:val="single"/>
              </w:rPr>
              <w:t>Administration</w:t>
            </w:r>
          </w:p>
          <w:p w14:paraId="7594CB9B" w14:textId="4643F65F" w:rsidR="00BD0D32" w:rsidRPr="00BD0D32" w:rsidRDefault="10452EA4" w:rsidP="00014544">
            <w:pPr>
              <w:numPr>
                <w:ilvl w:val="0"/>
                <w:numId w:val="21"/>
              </w:numPr>
              <w:contextualSpacing/>
              <w:rPr>
                <w:rFonts w:asciiTheme="minorHAnsi" w:hAnsiTheme="minorHAnsi"/>
                <w:color w:val="auto"/>
                <w:sz w:val="22"/>
                <w:szCs w:val="22"/>
              </w:rPr>
            </w:pPr>
            <w:r>
              <w:rPr>
                <w:sz w:val="22"/>
                <w:szCs w:val="22"/>
              </w:rPr>
              <w:t xml:space="preserve">Le superviseur partage les réflexions de la semaine écoulée et des informations actualisées sur la logistique, les rapports, le recrutement, etc. </w:t>
            </w:r>
          </w:p>
          <w:p w14:paraId="758CEB4E" w14:textId="7777B411" w:rsidR="00BD0D32" w:rsidRPr="00BD0D32" w:rsidRDefault="10452EA4" w:rsidP="00014544">
            <w:pPr>
              <w:numPr>
                <w:ilvl w:val="0"/>
                <w:numId w:val="21"/>
              </w:numPr>
              <w:contextualSpacing/>
              <w:rPr>
                <w:rFonts w:asciiTheme="minorHAnsi" w:hAnsiTheme="minorHAnsi"/>
                <w:color w:val="auto"/>
                <w:sz w:val="22"/>
                <w:szCs w:val="22"/>
              </w:rPr>
            </w:pPr>
            <w:r>
              <w:rPr>
                <w:rFonts w:asciiTheme="minorHAnsi" w:hAnsiTheme="minorHAnsi"/>
                <w:color w:val="auto"/>
                <w:sz w:val="22"/>
                <w:szCs w:val="22"/>
              </w:rPr>
              <w:t>Le superviseur invite les travailleurs sociaux à poser des questions ou à faire part de difficultés administratives ou opérationnelles rencontrées dans leur travail.</w:t>
            </w:r>
          </w:p>
          <w:p w14:paraId="4148391D" w14:textId="77777777" w:rsidR="00BD0D32" w:rsidRPr="00BD0D32" w:rsidRDefault="10452EA4" w:rsidP="10452EA4">
            <w:pPr>
              <w:numPr>
                <w:ilvl w:val="0"/>
                <w:numId w:val="21"/>
              </w:numPr>
              <w:contextualSpacing/>
              <w:rPr>
                <w:rFonts w:asciiTheme="minorHAnsi" w:hAnsiTheme="minorHAnsi"/>
                <w:color w:val="auto"/>
                <w:sz w:val="22"/>
                <w:szCs w:val="22"/>
              </w:rPr>
            </w:pPr>
            <w:r>
              <w:rPr>
                <w:rFonts w:asciiTheme="minorHAnsi" w:hAnsiTheme="minorHAnsi"/>
                <w:color w:val="auto"/>
                <w:sz w:val="22"/>
                <w:szCs w:val="22"/>
              </w:rPr>
              <w:t>Faites la mise au point avec les travailleurs sociaux (chaque membre de l’équipe partage ce qui suit) :</w:t>
            </w:r>
          </w:p>
          <w:p w14:paraId="0AC3D5D8" w14:textId="54E49E1C"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Un succès ou une expérience positive de la semaine</w:t>
            </w:r>
            <w:r w:rsidR="00FA1087">
              <w:rPr>
                <w:rFonts w:asciiTheme="minorHAnsi" w:hAnsiTheme="minorHAnsi"/>
                <w:color w:val="auto"/>
                <w:sz w:val="22"/>
                <w:szCs w:val="22"/>
              </w:rPr>
              <w:t>.</w:t>
            </w:r>
            <w:r>
              <w:rPr>
                <w:sz w:val="22"/>
                <w:szCs w:val="22"/>
              </w:rPr>
              <w:t xml:space="preserve"> </w:t>
            </w:r>
          </w:p>
          <w:p w14:paraId="15EF7DD0" w14:textId="7B57D86D" w:rsidR="00BD0D32" w:rsidRPr="00BD0D32" w:rsidRDefault="10452EA4" w:rsidP="00FA1087">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Les défis auxquels il/elle a été confronté(e)</w:t>
            </w:r>
            <w:r w:rsidR="00FA1087">
              <w:rPr>
                <w:rFonts w:asciiTheme="minorHAnsi" w:hAnsiTheme="minorHAnsi"/>
                <w:color w:val="auto"/>
                <w:sz w:val="22"/>
                <w:szCs w:val="22"/>
              </w:rPr>
              <w:t>.</w:t>
            </w:r>
            <w:r>
              <w:rPr>
                <w:sz w:val="22"/>
                <w:szCs w:val="22"/>
              </w:rPr>
              <w:t xml:space="preserve"> </w:t>
            </w:r>
          </w:p>
          <w:p w14:paraId="1FBA4CD6" w14:textId="77777777" w:rsidR="00BD0D32" w:rsidRPr="00014544"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sidRPr="00014544">
              <w:rPr>
                <w:sz w:val="22"/>
                <w:szCs w:val="22"/>
              </w:rPr>
              <w:t>Examen anonyme des éléments suivants :</w:t>
            </w:r>
          </w:p>
          <w:p w14:paraId="49227107" w14:textId="7416D776" w:rsidR="00BD0D32" w:rsidRPr="00BD0D32"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Nombre de cas ouverts</w:t>
            </w:r>
            <w:r w:rsidR="00FA1087">
              <w:rPr>
                <w:rFonts w:asciiTheme="minorHAnsi" w:hAnsiTheme="minorHAnsi"/>
                <w:color w:val="auto"/>
                <w:sz w:val="22"/>
                <w:szCs w:val="22"/>
              </w:rPr>
              <w:t>.</w:t>
            </w:r>
            <w:r>
              <w:rPr>
                <w:sz w:val="22"/>
                <w:szCs w:val="22"/>
              </w:rPr>
              <w:t xml:space="preserve"> </w:t>
            </w:r>
          </w:p>
          <w:p w14:paraId="0353076D" w14:textId="46B6589E" w:rsidR="00BD0D32" w:rsidRPr="00BD0D32" w:rsidRDefault="10452EA4" w:rsidP="00FA1087">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rFonts w:asciiTheme="minorHAnsi" w:hAnsiTheme="minorHAnsi"/>
                <w:color w:val="auto"/>
                <w:sz w:val="22"/>
                <w:szCs w:val="22"/>
              </w:rPr>
            </w:pPr>
            <w:r>
              <w:rPr>
                <w:sz w:val="22"/>
                <w:szCs w:val="22"/>
              </w:rPr>
              <w:t>Cas à haut risque et certains cas à moyen risque [situations en stagnation, problèmes complexes de protection, etc.]</w:t>
            </w:r>
            <w:r w:rsidR="00FA1087">
              <w:rPr>
                <w:rFonts w:asciiTheme="minorHAnsi" w:hAnsiTheme="minorHAnsi"/>
                <w:color w:val="auto"/>
                <w:sz w:val="22"/>
                <w:szCs w:val="22"/>
              </w:rPr>
              <w:t>.</w:t>
            </w:r>
          </w:p>
        </w:tc>
        <w:tc>
          <w:tcPr>
            <w:tcW w:w="4268" w:type="dxa"/>
          </w:tcPr>
          <w:p w14:paraId="235089CF" w14:textId="39376A12" w:rsidR="004A054B" w:rsidRPr="00BD0D32" w:rsidRDefault="004A054B">
            <w:pPr>
              <w:jc w:val="both"/>
              <w:rPr>
                <w:rFonts w:asciiTheme="minorHAnsi" w:hAnsiTheme="minorHAnsi"/>
                <w:color w:val="auto"/>
                <w:sz w:val="22"/>
                <w:szCs w:val="22"/>
              </w:rPr>
            </w:pPr>
          </w:p>
        </w:tc>
      </w:tr>
      <w:tr w:rsidR="004A054B" w:rsidRPr="00BD0D32" w14:paraId="506C5CD0" w14:textId="77777777" w:rsidTr="00014544">
        <w:trPr>
          <w:trHeight w:val="70"/>
        </w:trPr>
        <w:tc>
          <w:tcPr>
            <w:tcW w:w="5807" w:type="dxa"/>
          </w:tcPr>
          <w:p w14:paraId="401D61C1" w14:textId="77777777" w:rsidR="00730C12" w:rsidRPr="00730C12" w:rsidRDefault="10452EA4" w:rsidP="10452EA4">
            <w:pPr>
              <w:contextualSpacing/>
              <w:jc w:val="both"/>
              <w:rPr>
                <w:rFonts w:asciiTheme="minorHAnsi" w:hAnsiTheme="minorHAnsi"/>
                <w:b/>
                <w:bCs/>
                <w:color w:val="auto"/>
                <w:sz w:val="22"/>
                <w:szCs w:val="22"/>
                <w:u w:val="single"/>
              </w:rPr>
            </w:pPr>
            <w:r>
              <w:rPr>
                <w:rFonts w:asciiTheme="minorHAnsi" w:hAnsiTheme="minorHAnsi"/>
                <w:b/>
                <w:bCs/>
                <w:color w:val="auto"/>
                <w:sz w:val="22"/>
                <w:szCs w:val="22"/>
                <w:u w:val="single"/>
              </w:rPr>
              <w:t>Développement</w:t>
            </w:r>
          </w:p>
          <w:p w14:paraId="0F1F623E" w14:textId="45EF1555" w:rsidR="004A054B" w:rsidRPr="00954477" w:rsidRDefault="10452EA4" w:rsidP="00014544">
            <w:pPr>
              <w:pStyle w:val="ListParagraph"/>
              <w:numPr>
                <w:ilvl w:val="0"/>
                <w:numId w:val="2"/>
              </w:numPr>
              <w:rPr>
                <w:color w:val="auto"/>
                <w:sz w:val="22"/>
                <w:szCs w:val="22"/>
              </w:rPr>
            </w:pPr>
            <w:r>
              <w:rPr>
                <w:rFonts w:asciiTheme="minorHAnsi" w:hAnsiTheme="minorHAnsi"/>
                <w:color w:val="auto"/>
                <w:sz w:val="22"/>
                <w:szCs w:val="22"/>
              </w:rPr>
              <w:t>D’après les plans de renforcement des capacités des travailleurs sociaux, le superviseur peut proposer des sujets en vue d’un événement d’apprentissage en équipe comme l’enseignement en retour, l’invitation d’un conférencier, des événements spéciaux.</w:t>
            </w:r>
          </w:p>
          <w:p w14:paraId="1FEF01D2" w14:textId="236AA2E3" w:rsidR="004A054B" w:rsidRPr="00954477" w:rsidRDefault="10452EA4" w:rsidP="00014544">
            <w:pPr>
              <w:pStyle w:val="ListParagraph"/>
              <w:numPr>
                <w:ilvl w:val="0"/>
                <w:numId w:val="2"/>
              </w:numPr>
              <w:rPr>
                <w:color w:val="auto"/>
                <w:sz w:val="22"/>
                <w:szCs w:val="22"/>
              </w:rPr>
            </w:pPr>
            <w:r w:rsidRPr="00014544">
              <w:rPr>
                <w:rFonts w:asciiTheme="minorHAnsi" w:hAnsiTheme="minorHAnsi"/>
                <w:color w:val="auto"/>
                <w:spacing w:val="-4"/>
                <w:sz w:val="22"/>
                <w:szCs w:val="22"/>
              </w:rPr>
              <w:t>Les travailleurs sociaux doivent être invités à s’exprime</w:t>
            </w:r>
            <w:r>
              <w:rPr>
                <w:rFonts w:asciiTheme="minorHAnsi" w:hAnsiTheme="minorHAnsi"/>
                <w:color w:val="auto"/>
                <w:sz w:val="22"/>
                <w:szCs w:val="22"/>
              </w:rPr>
              <w:t>r sur les possibilités d’apprentissage qu’ils connaissent ou un sujet qu’ils souhaitent enseigner en retour à l’équipe.</w:t>
            </w:r>
          </w:p>
        </w:tc>
        <w:tc>
          <w:tcPr>
            <w:tcW w:w="4268" w:type="dxa"/>
          </w:tcPr>
          <w:p w14:paraId="2F259907" w14:textId="4F6CD7AE" w:rsidR="004A054B" w:rsidRPr="00BD0D32" w:rsidRDefault="004A054B">
            <w:pPr>
              <w:jc w:val="both"/>
              <w:rPr>
                <w:rFonts w:asciiTheme="minorHAnsi" w:hAnsiTheme="minorHAnsi"/>
                <w:color w:val="auto"/>
                <w:sz w:val="22"/>
                <w:szCs w:val="22"/>
              </w:rPr>
            </w:pPr>
          </w:p>
        </w:tc>
      </w:tr>
      <w:tr w:rsidR="004A054B" w:rsidRPr="00BD0D32" w14:paraId="2EEDF1D2" w14:textId="77777777" w:rsidTr="00014544">
        <w:trPr>
          <w:trHeight w:val="1610"/>
        </w:trPr>
        <w:tc>
          <w:tcPr>
            <w:tcW w:w="5807" w:type="dxa"/>
          </w:tcPr>
          <w:p w14:paraId="4F18D990" w14:textId="77777777" w:rsidR="00730C12" w:rsidRPr="00954477" w:rsidRDefault="10452EA4" w:rsidP="10452EA4">
            <w:pPr>
              <w:rPr>
                <w:rFonts w:asciiTheme="minorHAnsi" w:hAnsiTheme="minorHAnsi"/>
                <w:b/>
                <w:bCs/>
                <w:color w:val="auto"/>
                <w:sz w:val="22"/>
                <w:szCs w:val="22"/>
                <w:u w:val="single"/>
              </w:rPr>
            </w:pPr>
            <w:r>
              <w:rPr>
                <w:rFonts w:asciiTheme="minorHAnsi" w:hAnsiTheme="minorHAnsi"/>
                <w:b/>
                <w:bCs/>
                <w:color w:val="auto"/>
                <w:sz w:val="22"/>
                <w:szCs w:val="22"/>
                <w:u w:val="single"/>
              </w:rPr>
              <w:lastRenderedPageBreak/>
              <w:t>Soutien</w:t>
            </w:r>
          </w:p>
          <w:p w14:paraId="2CE0F66B" w14:textId="20651227" w:rsidR="00730C12" w:rsidRPr="00954477" w:rsidRDefault="10452EA4" w:rsidP="10452EA4">
            <w:pPr>
              <w:pStyle w:val="ListParagraph"/>
              <w:numPr>
                <w:ilvl w:val="0"/>
                <w:numId w:val="1"/>
              </w:numPr>
              <w:rPr>
                <w:color w:val="auto"/>
                <w:sz w:val="22"/>
                <w:szCs w:val="22"/>
              </w:rPr>
            </w:pPr>
            <w:r>
              <w:rPr>
                <w:rFonts w:asciiTheme="minorHAnsi" w:hAnsiTheme="minorHAnsi"/>
                <w:color w:val="auto"/>
                <w:sz w:val="22"/>
                <w:szCs w:val="22"/>
              </w:rPr>
              <w:t>Faites référence à l’exercice de Mandala ; suivez l’avancement vers les objectifs ; discutez de l’évolution de la pertinence des objectifs.</w:t>
            </w:r>
          </w:p>
          <w:p w14:paraId="580784E7" w14:textId="1711523B" w:rsidR="00730C12" w:rsidRPr="00954477" w:rsidRDefault="10452EA4" w:rsidP="10452EA4">
            <w:pPr>
              <w:pStyle w:val="ListParagraph"/>
              <w:numPr>
                <w:ilvl w:val="0"/>
                <w:numId w:val="1"/>
              </w:numPr>
              <w:rPr>
                <w:color w:val="auto"/>
                <w:sz w:val="22"/>
                <w:szCs w:val="22"/>
              </w:rPr>
            </w:pPr>
            <w:r>
              <w:rPr>
                <w:rFonts w:asciiTheme="minorHAnsi" w:hAnsiTheme="minorHAnsi"/>
                <w:color w:val="auto"/>
                <w:sz w:val="22"/>
                <w:szCs w:val="22"/>
              </w:rPr>
              <w:t>Le superviseur ou les travailleurs sociaux peuvent proposer des activités de renforcement de la cohésion d’équipe ou aborder des problèmes liés au bien-être de l’équipe qu’ils ont identifiés depuis la dernière réunion.</w:t>
            </w:r>
          </w:p>
        </w:tc>
        <w:tc>
          <w:tcPr>
            <w:tcW w:w="4268" w:type="dxa"/>
          </w:tcPr>
          <w:p w14:paraId="338275CC" w14:textId="5ED5D4CD" w:rsidR="004A054B" w:rsidRPr="00BD0D32" w:rsidRDefault="004A054B">
            <w:pPr>
              <w:jc w:val="both"/>
              <w:rPr>
                <w:rFonts w:asciiTheme="minorHAnsi" w:hAnsiTheme="minorHAnsi"/>
                <w:color w:val="auto"/>
                <w:sz w:val="22"/>
                <w:szCs w:val="22"/>
              </w:rPr>
            </w:pPr>
          </w:p>
        </w:tc>
      </w:tr>
      <w:tr w:rsidR="004A054B" w:rsidRPr="00BD0D32" w14:paraId="485D9AEC" w14:textId="77777777" w:rsidTr="00014544">
        <w:trPr>
          <w:trHeight w:val="1610"/>
        </w:trPr>
        <w:tc>
          <w:tcPr>
            <w:tcW w:w="5807" w:type="dxa"/>
          </w:tcPr>
          <w:p w14:paraId="0834FF85" w14:textId="056D2C7C" w:rsidR="004A054B" w:rsidRPr="009121D2" w:rsidRDefault="10452EA4" w:rsidP="10452EA4">
            <w:pPr>
              <w:contextualSpacing/>
              <w:jc w:val="both"/>
              <w:rPr>
                <w:rFonts w:asciiTheme="minorHAnsi" w:hAnsiTheme="minorHAnsi"/>
                <w:b/>
                <w:bCs/>
                <w:color w:val="auto"/>
                <w:sz w:val="22"/>
                <w:szCs w:val="22"/>
              </w:rPr>
            </w:pPr>
            <w:r>
              <w:rPr>
                <w:rFonts w:asciiTheme="minorHAnsi" w:hAnsiTheme="minorHAnsi"/>
                <w:b/>
                <w:bCs/>
                <w:color w:val="auto"/>
                <w:sz w:val="22"/>
                <w:szCs w:val="22"/>
                <w:u w:val="single"/>
              </w:rPr>
              <w:t>Clôture et points d’action</w:t>
            </w:r>
            <w:r>
              <w:rPr>
                <w:rFonts w:asciiTheme="minorHAnsi" w:hAnsiTheme="minorHAnsi"/>
                <w:b/>
                <w:bCs/>
                <w:color w:val="auto"/>
                <w:sz w:val="22"/>
                <w:szCs w:val="22"/>
              </w:rPr>
              <w:t xml:space="preserve"> </w:t>
            </w:r>
          </w:p>
          <w:p w14:paraId="0F96AB6D" w14:textId="72E46367"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 xml:space="preserve">Résumé de la réunion, mise en évidence des points d’action soulevés et calendrier prévisionnel. </w:t>
            </w:r>
          </w:p>
          <w:p w14:paraId="223B3C4E" w14:textId="0D87BE26"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Emploi du temps de la semaine suivante.</w:t>
            </w:r>
          </w:p>
          <w:p w14:paraId="611D851D" w14:textId="77777777" w:rsidR="004A054B" w:rsidRPr="00BD0D32" w:rsidRDefault="004A054B">
            <w:pPr>
              <w:jc w:val="both"/>
              <w:rPr>
                <w:rFonts w:asciiTheme="minorHAnsi" w:hAnsiTheme="minorHAnsi"/>
                <w:color w:val="auto"/>
                <w:sz w:val="22"/>
                <w:szCs w:val="22"/>
              </w:rPr>
            </w:pPr>
          </w:p>
        </w:tc>
        <w:tc>
          <w:tcPr>
            <w:tcW w:w="4268" w:type="dxa"/>
          </w:tcPr>
          <w:p w14:paraId="44889F8C" w14:textId="03AAF846" w:rsidR="004A054B" w:rsidRPr="00BD0D32" w:rsidRDefault="004A054B">
            <w:pPr>
              <w:jc w:val="both"/>
              <w:rPr>
                <w:rFonts w:asciiTheme="minorHAnsi" w:hAnsiTheme="minorHAnsi"/>
                <w:color w:val="auto"/>
                <w:sz w:val="22"/>
                <w:szCs w:val="22"/>
              </w:rPr>
            </w:pPr>
          </w:p>
        </w:tc>
      </w:tr>
      <w:tr w:rsidR="004A054B" w:rsidRPr="00BD0D32" w14:paraId="11AA59C8" w14:textId="77777777" w:rsidTr="00014544">
        <w:trPr>
          <w:trHeight w:val="2688"/>
        </w:trPr>
        <w:tc>
          <w:tcPr>
            <w:tcW w:w="5807" w:type="dxa"/>
          </w:tcPr>
          <w:p w14:paraId="4A0D1A23" w14:textId="1E91DE35" w:rsidR="004A054B" w:rsidRPr="00364055" w:rsidRDefault="10452EA4" w:rsidP="10452EA4">
            <w:pPr>
              <w:jc w:val="both"/>
              <w:rPr>
                <w:rFonts w:asciiTheme="minorHAnsi" w:hAnsiTheme="minorHAnsi"/>
                <w:color w:val="auto"/>
                <w:sz w:val="22"/>
                <w:szCs w:val="22"/>
              </w:rPr>
            </w:pPr>
            <w:r>
              <w:rPr>
                <w:rFonts w:asciiTheme="minorHAnsi" w:hAnsiTheme="minorHAnsi"/>
                <w:color w:val="auto"/>
                <w:sz w:val="22"/>
                <w:szCs w:val="22"/>
              </w:rPr>
              <w:t xml:space="preserve">Mesures à prendre par le superviseur : </w:t>
            </w:r>
          </w:p>
          <w:p w14:paraId="73B098B6" w14:textId="77777777" w:rsidR="004A054B" w:rsidRPr="00647B37" w:rsidRDefault="004A054B">
            <w:pPr>
              <w:jc w:val="both"/>
              <w:rPr>
                <w:rFonts w:asciiTheme="minorHAnsi" w:hAnsiTheme="minorHAnsi"/>
                <w:b/>
                <w:color w:val="auto"/>
                <w:sz w:val="22"/>
                <w:szCs w:val="22"/>
              </w:rPr>
            </w:pPr>
          </w:p>
        </w:tc>
        <w:tc>
          <w:tcPr>
            <w:tcW w:w="4268" w:type="dxa"/>
          </w:tcPr>
          <w:p w14:paraId="2FB50D43" w14:textId="6F98C17B" w:rsidR="00364055" w:rsidRPr="00364055" w:rsidRDefault="10452EA4" w:rsidP="00014544">
            <w:pPr>
              <w:rPr>
                <w:rFonts w:asciiTheme="minorHAnsi" w:hAnsiTheme="minorHAnsi"/>
                <w:color w:val="auto"/>
                <w:sz w:val="22"/>
                <w:szCs w:val="22"/>
              </w:rPr>
            </w:pPr>
            <w:r>
              <w:rPr>
                <w:rFonts w:asciiTheme="minorHAnsi" w:hAnsiTheme="minorHAnsi"/>
                <w:color w:val="auto"/>
                <w:sz w:val="22"/>
                <w:szCs w:val="22"/>
              </w:rPr>
              <w:t xml:space="preserve">Mesures à prendre par les travailleurs sociaux : </w:t>
            </w:r>
          </w:p>
          <w:p w14:paraId="58DF82D0" w14:textId="59AF2897" w:rsidR="004A054B" w:rsidRPr="00647B37" w:rsidRDefault="004A054B">
            <w:pPr>
              <w:jc w:val="both"/>
              <w:rPr>
                <w:rFonts w:asciiTheme="minorHAnsi" w:hAnsiTheme="minorHAnsi"/>
                <w:b/>
                <w:color w:val="auto"/>
                <w:sz w:val="22"/>
                <w:szCs w:val="22"/>
              </w:rPr>
            </w:pPr>
          </w:p>
        </w:tc>
      </w:tr>
    </w:tbl>
    <w:p w14:paraId="4F42F691" w14:textId="77777777" w:rsidR="00000D15" w:rsidRPr="0097653E" w:rsidRDefault="00000D15">
      <w:pPr>
        <w:jc w:val="both"/>
        <w:rPr>
          <w:rFonts w:asciiTheme="minorHAnsi" w:hAnsiTheme="minorHAnsi"/>
          <w:color w:val="auto"/>
          <w:sz w:val="22"/>
          <w:szCs w:val="22"/>
        </w:rPr>
      </w:pPr>
    </w:p>
    <w:p w14:paraId="56F9F942" w14:textId="77777777" w:rsidR="00000D15" w:rsidRPr="0097653E" w:rsidRDefault="00000D15">
      <w:pPr>
        <w:jc w:val="both"/>
        <w:rPr>
          <w:rFonts w:asciiTheme="minorHAnsi" w:hAnsiTheme="minorHAnsi"/>
          <w:color w:val="auto"/>
          <w:sz w:val="22"/>
          <w:szCs w:val="22"/>
        </w:rPr>
      </w:pPr>
    </w:p>
    <w:sectPr w:rsidR="00000D15" w:rsidRPr="0097653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F2A8" w14:textId="77777777" w:rsidR="001304E7" w:rsidRDefault="001304E7" w:rsidP="00014544">
      <w:r>
        <w:separator/>
      </w:r>
    </w:p>
  </w:endnote>
  <w:endnote w:type="continuationSeparator" w:id="0">
    <w:p w14:paraId="76028BAA" w14:textId="77777777" w:rsidR="001304E7" w:rsidRDefault="001304E7" w:rsidP="0001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F201" w14:textId="77777777" w:rsidR="001304E7" w:rsidRDefault="001304E7" w:rsidP="00014544">
      <w:r>
        <w:separator/>
      </w:r>
    </w:p>
  </w:footnote>
  <w:footnote w:type="continuationSeparator" w:id="0">
    <w:p w14:paraId="50350631" w14:textId="77777777" w:rsidR="001304E7" w:rsidRDefault="001304E7" w:rsidP="00014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DB"/>
    <w:multiLevelType w:val="hybridMultilevel"/>
    <w:tmpl w:val="0922D7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181F5E"/>
    <w:multiLevelType w:val="hybridMultilevel"/>
    <w:tmpl w:val="FBF0E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B3BEA"/>
    <w:multiLevelType w:val="hybridMultilevel"/>
    <w:tmpl w:val="2406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15:restartNumberingAfterBreak="0">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C55700"/>
    <w:multiLevelType w:val="hybridMultilevel"/>
    <w:tmpl w:val="CD6413A8"/>
    <w:lvl w:ilvl="0" w:tplc="9C7CC460">
      <w:start w:val="1"/>
      <w:numFmt w:val="bullet"/>
      <w:lvlText w:val=""/>
      <w:lvlJc w:val="left"/>
      <w:pPr>
        <w:ind w:left="720" w:hanging="360"/>
      </w:pPr>
      <w:rPr>
        <w:rFonts w:ascii="Symbol" w:hAnsi="Symbol" w:hint="default"/>
      </w:rPr>
    </w:lvl>
    <w:lvl w:ilvl="1" w:tplc="42A65D46">
      <w:start w:val="1"/>
      <w:numFmt w:val="bullet"/>
      <w:lvlText w:val="o"/>
      <w:lvlJc w:val="left"/>
      <w:pPr>
        <w:ind w:left="1440" w:hanging="360"/>
      </w:pPr>
      <w:rPr>
        <w:rFonts w:ascii="Courier New" w:hAnsi="Courier New" w:hint="default"/>
      </w:rPr>
    </w:lvl>
    <w:lvl w:ilvl="2" w:tplc="CE669E48">
      <w:start w:val="1"/>
      <w:numFmt w:val="bullet"/>
      <w:lvlText w:val=""/>
      <w:lvlJc w:val="left"/>
      <w:pPr>
        <w:ind w:left="2160" w:hanging="360"/>
      </w:pPr>
      <w:rPr>
        <w:rFonts w:ascii="Wingdings" w:hAnsi="Wingdings" w:hint="default"/>
      </w:rPr>
    </w:lvl>
    <w:lvl w:ilvl="3" w:tplc="BD8C403A">
      <w:start w:val="1"/>
      <w:numFmt w:val="bullet"/>
      <w:lvlText w:val=""/>
      <w:lvlJc w:val="left"/>
      <w:pPr>
        <w:ind w:left="2880" w:hanging="360"/>
      </w:pPr>
      <w:rPr>
        <w:rFonts w:ascii="Symbol" w:hAnsi="Symbol" w:hint="default"/>
      </w:rPr>
    </w:lvl>
    <w:lvl w:ilvl="4" w:tplc="4538CAC2">
      <w:start w:val="1"/>
      <w:numFmt w:val="bullet"/>
      <w:lvlText w:val="o"/>
      <w:lvlJc w:val="left"/>
      <w:pPr>
        <w:ind w:left="3600" w:hanging="360"/>
      </w:pPr>
      <w:rPr>
        <w:rFonts w:ascii="Courier New" w:hAnsi="Courier New" w:hint="default"/>
      </w:rPr>
    </w:lvl>
    <w:lvl w:ilvl="5" w:tplc="FF60A89A">
      <w:start w:val="1"/>
      <w:numFmt w:val="bullet"/>
      <w:lvlText w:val=""/>
      <w:lvlJc w:val="left"/>
      <w:pPr>
        <w:ind w:left="4320" w:hanging="360"/>
      </w:pPr>
      <w:rPr>
        <w:rFonts w:ascii="Wingdings" w:hAnsi="Wingdings" w:hint="default"/>
      </w:rPr>
    </w:lvl>
    <w:lvl w:ilvl="6" w:tplc="B8ECD054">
      <w:start w:val="1"/>
      <w:numFmt w:val="bullet"/>
      <w:lvlText w:val=""/>
      <w:lvlJc w:val="left"/>
      <w:pPr>
        <w:ind w:left="5040" w:hanging="360"/>
      </w:pPr>
      <w:rPr>
        <w:rFonts w:ascii="Symbol" w:hAnsi="Symbol" w:hint="default"/>
      </w:rPr>
    </w:lvl>
    <w:lvl w:ilvl="7" w:tplc="B85AF9C2">
      <w:start w:val="1"/>
      <w:numFmt w:val="bullet"/>
      <w:lvlText w:val="o"/>
      <w:lvlJc w:val="left"/>
      <w:pPr>
        <w:ind w:left="5760" w:hanging="360"/>
      </w:pPr>
      <w:rPr>
        <w:rFonts w:ascii="Courier New" w:hAnsi="Courier New" w:hint="default"/>
      </w:rPr>
    </w:lvl>
    <w:lvl w:ilvl="8" w:tplc="08BC82D6">
      <w:start w:val="1"/>
      <w:numFmt w:val="bullet"/>
      <w:lvlText w:val=""/>
      <w:lvlJc w:val="left"/>
      <w:pPr>
        <w:ind w:left="6480" w:hanging="360"/>
      </w:pPr>
      <w:rPr>
        <w:rFonts w:ascii="Wingdings" w:hAnsi="Wingdings" w:hint="default"/>
      </w:rPr>
    </w:lvl>
  </w:abstractNum>
  <w:abstractNum w:abstractNumId="13" w15:restartNumberingAfterBreak="0">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4"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84764C"/>
    <w:multiLevelType w:val="hybridMultilevel"/>
    <w:tmpl w:val="3D9262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EB1A4F"/>
    <w:multiLevelType w:val="hybridMultilevel"/>
    <w:tmpl w:val="D84A2A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21" w15:restartNumberingAfterBreak="0">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CC7FA6"/>
    <w:multiLevelType w:val="hybridMultilevel"/>
    <w:tmpl w:val="95381428"/>
    <w:lvl w:ilvl="0" w:tplc="874E4648">
      <w:start w:val="1"/>
      <w:numFmt w:val="bullet"/>
      <w:lvlText w:val=""/>
      <w:lvlJc w:val="left"/>
      <w:pPr>
        <w:ind w:left="720" w:hanging="360"/>
      </w:pPr>
      <w:rPr>
        <w:rFonts w:ascii="Symbol" w:hAnsi="Symbol" w:hint="default"/>
      </w:rPr>
    </w:lvl>
    <w:lvl w:ilvl="1" w:tplc="8DB6F620">
      <w:start w:val="1"/>
      <w:numFmt w:val="bullet"/>
      <w:lvlText w:val="o"/>
      <w:lvlJc w:val="left"/>
      <w:pPr>
        <w:ind w:left="1440" w:hanging="360"/>
      </w:pPr>
      <w:rPr>
        <w:rFonts w:ascii="Courier New" w:hAnsi="Courier New" w:hint="default"/>
      </w:rPr>
    </w:lvl>
    <w:lvl w:ilvl="2" w:tplc="B986CE50">
      <w:start w:val="1"/>
      <w:numFmt w:val="bullet"/>
      <w:lvlText w:val=""/>
      <w:lvlJc w:val="left"/>
      <w:pPr>
        <w:ind w:left="2160" w:hanging="360"/>
      </w:pPr>
      <w:rPr>
        <w:rFonts w:ascii="Wingdings" w:hAnsi="Wingdings" w:hint="default"/>
      </w:rPr>
    </w:lvl>
    <w:lvl w:ilvl="3" w:tplc="4CCCA836">
      <w:start w:val="1"/>
      <w:numFmt w:val="bullet"/>
      <w:lvlText w:val=""/>
      <w:lvlJc w:val="left"/>
      <w:pPr>
        <w:ind w:left="2880" w:hanging="360"/>
      </w:pPr>
      <w:rPr>
        <w:rFonts w:ascii="Symbol" w:hAnsi="Symbol" w:hint="default"/>
      </w:rPr>
    </w:lvl>
    <w:lvl w:ilvl="4" w:tplc="B6E2AE00">
      <w:start w:val="1"/>
      <w:numFmt w:val="bullet"/>
      <w:lvlText w:val="o"/>
      <w:lvlJc w:val="left"/>
      <w:pPr>
        <w:ind w:left="3600" w:hanging="360"/>
      </w:pPr>
      <w:rPr>
        <w:rFonts w:ascii="Courier New" w:hAnsi="Courier New" w:hint="default"/>
      </w:rPr>
    </w:lvl>
    <w:lvl w:ilvl="5" w:tplc="DF1CB09C">
      <w:start w:val="1"/>
      <w:numFmt w:val="bullet"/>
      <w:lvlText w:val=""/>
      <w:lvlJc w:val="left"/>
      <w:pPr>
        <w:ind w:left="4320" w:hanging="360"/>
      </w:pPr>
      <w:rPr>
        <w:rFonts w:ascii="Wingdings" w:hAnsi="Wingdings" w:hint="default"/>
      </w:rPr>
    </w:lvl>
    <w:lvl w:ilvl="6" w:tplc="EA92ABA4">
      <w:start w:val="1"/>
      <w:numFmt w:val="bullet"/>
      <w:lvlText w:val=""/>
      <w:lvlJc w:val="left"/>
      <w:pPr>
        <w:ind w:left="5040" w:hanging="360"/>
      </w:pPr>
      <w:rPr>
        <w:rFonts w:ascii="Symbol" w:hAnsi="Symbol" w:hint="default"/>
      </w:rPr>
    </w:lvl>
    <w:lvl w:ilvl="7" w:tplc="1E9EE8F8">
      <w:start w:val="1"/>
      <w:numFmt w:val="bullet"/>
      <w:lvlText w:val="o"/>
      <w:lvlJc w:val="left"/>
      <w:pPr>
        <w:ind w:left="5760" w:hanging="360"/>
      </w:pPr>
      <w:rPr>
        <w:rFonts w:ascii="Courier New" w:hAnsi="Courier New" w:hint="default"/>
      </w:rPr>
    </w:lvl>
    <w:lvl w:ilvl="8" w:tplc="257C9152">
      <w:start w:val="1"/>
      <w:numFmt w:val="bullet"/>
      <w:lvlText w:val=""/>
      <w:lvlJc w:val="left"/>
      <w:pPr>
        <w:ind w:left="6480" w:hanging="360"/>
      </w:pPr>
      <w:rPr>
        <w:rFonts w:ascii="Wingdings" w:hAnsi="Wingdings" w:hint="default"/>
      </w:rPr>
    </w:lvl>
  </w:abstractNum>
  <w:abstractNum w:abstractNumId="25"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2"/>
  </w:num>
  <w:num w:numId="3">
    <w:abstractNumId w:val="11"/>
  </w:num>
  <w:num w:numId="4">
    <w:abstractNumId w:val="15"/>
  </w:num>
  <w:num w:numId="5">
    <w:abstractNumId w:val="20"/>
  </w:num>
  <w:num w:numId="6">
    <w:abstractNumId w:val="1"/>
  </w:num>
  <w:num w:numId="7">
    <w:abstractNumId w:val="9"/>
  </w:num>
  <w:num w:numId="8">
    <w:abstractNumId w:val="28"/>
  </w:num>
  <w:num w:numId="9">
    <w:abstractNumId w:val="13"/>
  </w:num>
  <w:num w:numId="10">
    <w:abstractNumId w:val="25"/>
  </w:num>
  <w:num w:numId="11">
    <w:abstractNumId w:val="2"/>
  </w:num>
  <w:num w:numId="12">
    <w:abstractNumId w:val="10"/>
  </w:num>
  <w:num w:numId="13">
    <w:abstractNumId w:val="8"/>
  </w:num>
  <w:num w:numId="14">
    <w:abstractNumId w:val="26"/>
  </w:num>
  <w:num w:numId="15">
    <w:abstractNumId w:val="23"/>
  </w:num>
  <w:num w:numId="16">
    <w:abstractNumId w:val="21"/>
  </w:num>
  <w:num w:numId="17">
    <w:abstractNumId w:val="22"/>
  </w:num>
  <w:num w:numId="18">
    <w:abstractNumId w:val="6"/>
  </w:num>
  <w:num w:numId="19">
    <w:abstractNumId w:val="27"/>
  </w:num>
  <w:num w:numId="20">
    <w:abstractNumId w:val="14"/>
  </w:num>
  <w:num w:numId="21">
    <w:abstractNumId w:val="16"/>
  </w:num>
  <w:num w:numId="22">
    <w:abstractNumId w:val="17"/>
  </w:num>
  <w:num w:numId="23">
    <w:abstractNumId w:val="5"/>
  </w:num>
  <w:num w:numId="24">
    <w:abstractNumId w:val="7"/>
  </w:num>
  <w:num w:numId="25">
    <w:abstractNumId w:val="0"/>
  </w:num>
  <w:num w:numId="26">
    <w:abstractNumId w:val="18"/>
  </w:num>
  <w:num w:numId="27">
    <w:abstractNumId w:val="3"/>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15"/>
    <w:rsid w:val="00000CBA"/>
    <w:rsid w:val="00000D15"/>
    <w:rsid w:val="00014544"/>
    <w:rsid w:val="00053E62"/>
    <w:rsid w:val="0007340C"/>
    <w:rsid w:val="000820DD"/>
    <w:rsid w:val="001304E7"/>
    <w:rsid w:val="00157FF1"/>
    <w:rsid w:val="00171978"/>
    <w:rsid w:val="001C5267"/>
    <w:rsid w:val="002554E9"/>
    <w:rsid w:val="002E2C01"/>
    <w:rsid w:val="003008AB"/>
    <w:rsid w:val="00314817"/>
    <w:rsid w:val="00334F34"/>
    <w:rsid w:val="00364055"/>
    <w:rsid w:val="00384438"/>
    <w:rsid w:val="003D6C5A"/>
    <w:rsid w:val="00436ACD"/>
    <w:rsid w:val="00441F3E"/>
    <w:rsid w:val="004A054B"/>
    <w:rsid w:val="004A26A3"/>
    <w:rsid w:val="00534C25"/>
    <w:rsid w:val="0055375F"/>
    <w:rsid w:val="005C68E1"/>
    <w:rsid w:val="00647B37"/>
    <w:rsid w:val="006563CC"/>
    <w:rsid w:val="006B4191"/>
    <w:rsid w:val="006E2D15"/>
    <w:rsid w:val="00707307"/>
    <w:rsid w:val="00730C12"/>
    <w:rsid w:val="007F7294"/>
    <w:rsid w:val="00805C43"/>
    <w:rsid w:val="00874409"/>
    <w:rsid w:val="008B646A"/>
    <w:rsid w:val="00911037"/>
    <w:rsid w:val="009121D2"/>
    <w:rsid w:val="0091278F"/>
    <w:rsid w:val="009312DB"/>
    <w:rsid w:val="00952C6D"/>
    <w:rsid w:val="00954477"/>
    <w:rsid w:val="0097653E"/>
    <w:rsid w:val="009B679D"/>
    <w:rsid w:val="00A84824"/>
    <w:rsid w:val="00A970A0"/>
    <w:rsid w:val="00AA20E5"/>
    <w:rsid w:val="00AA2C95"/>
    <w:rsid w:val="00AE3716"/>
    <w:rsid w:val="00B900DB"/>
    <w:rsid w:val="00BD0D32"/>
    <w:rsid w:val="00C314C9"/>
    <w:rsid w:val="00D26F88"/>
    <w:rsid w:val="00D54E05"/>
    <w:rsid w:val="00DC63A1"/>
    <w:rsid w:val="00DD603E"/>
    <w:rsid w:val="00E32658"/>
    <w:rsid w:val="00E9555A"/>
    <w:rsid w:val="00EF5AD6"/>
    <w:rsid w:val="00F3564E"/>
    <w:rsid w:val="00F533E3"/>
    <w:rsid w:val="00F860AB"/>
    <w:rsid w:val="00FA1087"/>
    <w:rsid w:val="00FB0008"/>
    <w:rsid w:val="10452EA4"/>
    <w:rsid w:val="18AC9D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19783"/>
  <w15:docId w15:val="{D56B4163-2249-4865-B193-698DAFCF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 w:type="paragraph" w:styleId="Header">
    <w:name w:val="header"/>
    <w:basedOn w:val="Normal"/>
    <w:link w:val="HeaderChar"/>
    <w:uiPriority w:val="99"/>
    <w:unhideWhenUsed/>
    <w:rsid w:val="000145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14544"/>
    <w:rPr>
      <w:sz w:val="18"/>
      <w:szCs w:val="18"/>
    </w:rPr>
  </w:style>
  <w:style w:type="paragraph" w:styleId="Footer">
    <w:name w:val="footer"/>
    <w:basedOn w:val="Normal"/>
    <w:link w:val="FooterChar"/>
    <w:uiPriority w:val="99"/>
    <w:unhideWhenUsed/>
    <w:rsid w:val="0001454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145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2AFB-F3F5-494B-9BAD-63B2E89A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Jennifer Parsons</cp:lastModifiedBy>
  <cp:revision>10</cp:revision>
  <cp:lastPrinted>2018-07-24T03:54:00Z</cp:lastPrinted>
  <dcterms:created xsi:type="dcterms:W3CDTF">2017-11-02T02:11:00Z</dcterms:created>
  <dcterms:modified xsi:type="dcterms:W3CDTF">2018-09-18T18:04:00Z</dcterms:modified>
</cp:coreProperties>
</file>