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073E5" w14:textId="752CDD71" w:rsidR="0067118E" w:rsidRPr="004477C7" w:rsidRDefault="004477C7" w:rsidP="004477C7">
      <w:pPr>
        <w:autoSpaceDE w:val="0"/>
        <w:autoSpaceDN w:val="0"/>
        <w:adjustRightInd w:val="0"/>
        <w:spacing w:line="288" w:lineRule="auto"/>
        <w:contextualSpacing/>
        <w:rPr>
          <w:rStyle w:val="FootnoteReference"/>
          <w:rFonts w:asciiTheme="minorHAnsi" w:hAnsiTheme="minorHAnsi" w:cs="SCMorgan-Regular"/>
          <w:b/>
          <w:bCs/>
          <w:color w:val="5D6FA3"/>
        </w:rPr>
      </w:pPr>
      <w:r>
        <w:rPr>
          <w:noProof/>
          <w:lang w:val="en-US" w:eastAsia="en-US"/>
        </w:rPr>
        <w:drawing>
          <wp:anchor distT="0" distB="0" distL="114300" distR="114300" simplePos="0" relativeHeight="251658240" behindDoc="0" locked="0" layoutInCell="1" allowOverlap="1" wp14:anchorId="5F8068EB" wp14:editId="6674DC99">
            <wp:simplePos x="0" y="0"/>
            <wp:positionH relativeFrom="margin">
              <wp:posOffset>4969510</wp:posOffset>
            </wp:positionH>
            <wp:positionV relativeFrom="paragraph">
              <wp:posOffset>-580390</wp:posOffset>
            </wp:positionV>
            <wp:extent cx="762000" cy="800100"/>
            <wp:effectExtent l="0" t="0" r="0" b="0"/>
            <wp:wrapSquare wrapText="bothSides"/>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SCMorgan-Regular"/>
          <w:b/>
          <w:bCs/>
          <w:color w:val="5D6FA3"/>
        </w:rPr>
        <w:br/>
      </w:r>
      <w:r w:rsidR="53F3B7DA" w:rsidRPr="004477C7">
        <w:rPr>
          <w:rFonts w:asciiTheme="minorHAnsi" w:hAnsiTheme="minorHAnsi" w:cs="SCMorgan-Regular"/>
          <w:b/>
          <w:bCs/>
          <w:color w:val="5D6FA3"/>
        </w:rPr>
        <w:t>Module 3 Giving Feedback</w:t>
      </w:r>
      <w:r w:rsidR="005273EA" w:rsidRPr="004477C7">
        <w:rPr>
          <w:rStyle w:val="FootnoteReference"/>
          <w:rFonts w:asciiTheme="minorHAnsi" w:hAnsiTheme="minorHAnsi" w:cs="SCMorgan-Regular"/>
          <w:b/>
          <w:bCs/>
          <w:color w:val="5D6FA3"/>
        </w:rPr>
        <w:footnoteReference w:id="1"/>
      </w:r>
    </w:p>
    <w:p w14:paraId="11B7DC92" w14:textId="4C613488" w:rsidR="0067118E" w:rsidRPr="004477C7" w:rsidRDefault="0067118E" w:rsidP="0067118E">
      <w:pPr>
        <w:autoSpaceDE w:val="0"/>
        <w:autoSpaceDN w:val="0"/>
        <w:adjustRightInd w:val="0"/>
        <w:spacing w:line="288" w:lineRule="auto"/>
        <w:contextualSpacing/>
        <w:rPr>
          <w:rFonts w:asciiTheme="minorHAnsi" w:hAnsiTheme="minorHAnsi" w:cs="SCMorgan-Regular"/>
          <w:b/>
          <w:sz w:val="22"/>
          <w:szCs w:val="28"/>
        </w:rPr>
      </w:pPr>
    </w:p>
    <w:p w14:paraId="235D7A4E" w14:textId="59B4D309" w:rsidR="0067118E" w:rsidRPr="004477C7" w:rsidRDefault="3EEE92E3" w:rsidP="3EEE92E3">
      <w:pPr>
        <w:autoSpaceDE w:val="0"/>
        <w:autoSpaceDN w:val="0"/>
        <w:adjustRightInd w:val="0"/>
        <w:spacing w:line="288" w:lineRule="auto"/>
        <w:contextualSpacing/>
        <w:jc w:val="both"/>
        <w:rPr>
          <w:rFonts w:asciiTheme="minorHAnsi" w:hAnsiTheme="minorHAnsi" w:cs="SCMorgan-Regular"/>
          <w:b/>
          <w:bCs/>
          <w:sz w:val="22"/>
          <w:szCs w:val="22"/>
        </w:rPr>
      </w:pPr>
      <w:r w:rsidRPr="3EEE92E3">
        <w:rPr>
          <w:rFonts w:asciiTheme="minorHAnsi" w:hAnsiTheme="minorHAnsi" w:cs="SCMorgan-Regular"/>
          <w:b/>
          <w:bCs/>
          <w:sz w:val="22"/>
          <w:szCs w:val="22"/>
        </w:rPr>
        <w:t>Be clear in advance what you want to say:</w:t>
      </w:r>
      <w:r w:rsidRPr="3EEE92E3">
        <w:rPr>
          <w:rFonts w:asciiTheme="minorHAnsi" w:hAnsiTheme="minorHAnsi" w:cs="SCMorgan-Regular"/>
          <w:sz w:val="22"/>
          <w:szCs w:val="22"/>
        </w:rPr>
        <w:t xml:space="preserve"> Always start with the positive. </w:t>
      </w:r>
      <w:r w:rsidRPr="3EEE92E3">
        <w:rPr>
          <w:rFonts w:asciiTheme="minorHAnsi" w:hAnsiTheme="minorHAnsi" w:cs="GillSans"/>
          <w:sz w:val="22"/>
          <w:szCs w:val="22"/>
        </w:rPr>
        <w:t xml:space="preserve">Most people need encouragement when they are doing something well. When offering feedback, you can help the receiver by saying what they have done well – e.g., “I really liked the way you listened to Jim’s idea.” Sometimes we may overlook the things that went well. If the positive is heard first, any constructive criticism is more likely to be listened to and acted on. </w:t>
      </w:r>
    </w:p>
    <w:p w14:paraId="0EB4B18B" w14:textId="77777777" w:rsidR="0067118E" w:rsidRPr="004477C7" w:rsidRDefault="0067118E" w:rsidP="004477C7">
      <w:pPr>
        <w:autoSpaceDE w:val="0"/>
        <w:autoSpaceDN w:val="0"/>
        <w:adjustRightInd w:val="0"/>
        <w:spacing w:line="288" w:lineRule="auto"/>
        <w:contextualSpacing/>
        <w:jc w:val="both"/>
        <w:rPr>
          <w:rFonts w:asciiTheme="minorHAnsi" w:hAnsiTheme="minorHAnsi" w:cs="SCMorgan-Regular"/>
          <w:sz w:val="22"/>
          <w:szCs w:val="28"/>
        </w:rPr>
      </w:pPr>
    </w:p>
    <w:p w14:paraId="6D85FE5B" w14:textId="60F0923D" w:rsidR="0067118E" w:rsidRPr="004477C7" w:rsidRDefault="3EEE92E3" w:rsidP="3EEE92E3">
      <w:pPr>
        <w:autoSpaceDE w:val="0"/>
        <w:autoSpaceDN w:val="0"/>
        <w:adjustRightInd w:val="0"/>
        <w:spacing w:line="288" w:lineRule="auto"/>
        <w:contextualSpacing/>
        <w:jc w:val="both"/>
        <w:rPr>
          <w:rFonts w:asciiTheme="minorHAnsi" w:hAnsiTheme="minorHAnsi" w:cs="SCMorgan-Regular"/>
          <w:b/>
          <w:bCs/>
          <w:sz w:val="22"/>
          <w:szCs w:val="22"/>
        </w:rPr>
      </w:pPr>
      <w:r w:rsidRPr="3EEE92E3">
        <w:rPr>
          <w:rFonts w:asciiTheme="minorHAnsi" w:hAnsiTheme="minorHAnsi" w:cs="SCMorgan-Regular"/>
          <w:b/>
          <w:bCs/>
          <w:sz w:val="22"/>
          <w:szCs w:val="22"/>
        </w:rPr>
        <w:t xml:space="preserve">Be specific: </w:t>
      </w:r>
      <w:r w:rsidRPr="3EEE92E3">
        <w:rPr>
          <w:rFonts w:asciiTheme="minorHAnsi" w:hAnsiTheme="minorHAnsi" w:cs="GillSans"/>
          <w:sz w:val="22"/>
          <w:szCs w:val="22"/>
        </w:rPr>
        <w:t>Avoid general comments that are not very useful for developing skills. Statements such as “you were brilliant” or “it was awful” may be pleasant or dreadful to hear, but they do not give enough detail to be a useful source of learning. Pinpoint what the person did that was “brilliant” or “awful”. For example, you could say, “The way you asked that question was really helpful because it helped move the discussion forward”, or, “At that moment you seemed to be imposing your values on the other person and didn’t give them a chance to give their point of view.”</w:t>
      </w:r>
    </w:p>
    <w:p w14:paraId="41474AE5" w14:textId="77777777" w:rsidR="0067118E" w:rsidRPr="004477C7" w:rsidRDefault="0067118E" w:rsidP="004477C7">
      <w:pPr>
        <w:autoSpaceDE w:val="0"/>
        <w:autoSpaceDN w:val="0"/>
        <w:adjustRightInd w:val="0"/>
        <w:spacing w:line="288" w:lineRule="auto"/>
        <w:contextualSpacing/>
        <w:jc w:val="both"/>
        <w:rPr>
          <w:rFonts w:asciiTheme="minorHAnsi" w:hAnsiTheme="minorHAnsi" w:cs="SCMorgan-Regular"/>
          <w:sz w:val="22"/>
          <w:szCs w:val="28"/>
        </w:rPr>
      </w:pPr>
    </w:p>
    <w:p w14:paraId="7D123159" w14:textId="77777777" w:rsidR="0067118E" w:rsidRPr="004477C7" w:rsidRDefault="0067118E" w:rsidP="004477C7">
      <w:pPr>
        <w:autoSpaceDE w:val="0"/>
        <w:autoSpaceDN w:val="0"/>
        <w:adjustRightInd w:val="0"/>
        <w:spacing w:line="288" w:lineRule="auto"/>
        <w:contextualSpacing/>
        <w:jc w:val="both"/>
        <w:rPr>
          <w:rFonts w:asciiTheme="minorHAnsi" w:hAnsiTheme="minorHAnsi" w:cs="SCMorgan-Regular"/>
          <w:b/>
          <w:bCs/>
          <w:sz w:val="22"/>
        </w:rPr>
      </w:pPr>
      <w:r w:rsidRPr="004477C7">
        <w:rPr>
          <w:rFonts w:asciiTheme="minorHAnsi" w:hAnsiTheme="minorHAnsi" w:cs="SCMorgan-Regular"/>
          <w:b/>
          <w:bCs/>
          <w:sz w:val="22"/>
        </w:rPr>
        <w:t xml:space="preserve">Select priority areas: </w:t>
      </w:r>
      <w:r w:rsidRPr="004477C7">
        <w:rPr>
          <w:rFonts w:asciiTheme="minorHAnsi" w:hAnsiTheme="minorHAnsi" w:cs="GillSans"/>
          <w:sz w:val="22"/>
        </w:rPr>
        <w:t xml:space="preserve">Avoid saving up all the feedback and giving the person one huge feedback session, especially if there is considerable constructive feedback to be given. You may not be able to address all the issues that are concerning you at one meeting, so choose the most important items, </w:t>
      </w:r>
      <w:proofErr w:type="gramStart"/>
      <w:r w:rsidRPr="004477C7">
        <w:rPr>
          <w:rFonts w:asciiTheme="minorHAnsi" w:hAnsiTheme="minorHAnsi" w:cs="GillSans"/>
          <w:sz w:val="22"/>
        </w:rPr>
        <w:t>probably</w:t>
      </w:r>
      <w:proofErr w:type="gramEnd"/>
      <w:r w:rsidRPr="004477C7">
        <w:rPr>
          <w:rFonts w:asciiTheme="minorHAnsi" w:hAnsiTheme="minorHAnsi" w:cs="GillSans"/>
          <w:sz w:val="22"/>
        </w:rPr>
        <w:t xml:space="preserve"> not more than three at one time. Otherwise there is a risk that the receiver of the feedback will switch off and not listen.</w:t>
      </w:r>
    </w:p>
    <w:p w14:paraId="5590365C" w14:textId="77777777" w:rsidR="0067118E" w:rsidRPr="004477C7" w:rsidRDefault="0067118E" w:rsidP="004477C7">
      <w:pPr>
        <w:autoSpaceDE w:val="0"/>
        <w:autoSpaceDN w:val="0"/>
        <w:adjustRightInd w:val="0"/>
        <w:spacing w:line="288" w:lineRule="auto"/>
        <w:contextualSpacing/>
        <w:jc w:val="both"/>
        <w:rPr>
          <w:rFonts w:asciiTheme="minorHAnsi" w:hAnsiTheme="minorHAnsi" w:cs="SCMorgan-Regular"/>
          <w:sz w:val="22"/>
          <w:szCs w:val="28"/>
        </w:rPr>
      </w:pPr>
    </w:p>
    <w:p w14:paraId="2E72CBAA" w14:textId="40EB4776" w:rsidR="0067118E" w:rsidRPr="004477C7" w:rsidRDefault="3EEE92E3" w:rsidP="3EEE92E3">
      <w:pPr>
        <w:autoSpaceDE w:val="0"/>
        <w:autoSpaceDN w:val="0"/>
        <w:adjustRightInd w:val="0"/>
        <w:spacing w:line="288" w:lineRule="auto"/>
        <w:contextualSpacing/>
        <w:jc w:val="both"/>
        <w:rPr>
          <w:rFonts w:asciiTheme="minorHAnsi" w:hAnsiTheme="minorHAnsi" w:cs="SCMorgan-Regular"/>
          <w:b/>
          <w:bCs/>
          <w:sz w:val="22"/>
          <w:szCs w:val="22"/>
        </w:rPr>
      </w:pPr>
      <w:r w:rsidRPr="3EEE92E3">
        <w:rPr>
          <w:rFonts w:asciiTheme="minorHAnsi" w:hAnsiTheme="minorHAnsi" w:cs="SCMorgan-Regular"/>
          <w:b/>
          <w:bCs/>
          <w:sz w:val="22"/>
          <w:szCs w:val="22"/>
        </w:rPr>
        <w:t xml:space="preserve">Refer to behaviour that can be changed: </w:t>
      </w:r>
      <w:r w:rsidRPr="3EEE92E3">
        <w:rPr>
          <w:rFonts w:asciiTheme="minorHAnsi" w:hAnsiTheme="minorHAnsi" w:cs="GillSans"/>
          <w:sz w:val="22"/>
          <w:szCs w:val="22"/>
        </w:rPr>
        <w:t>Personal comments can be offensive and may not encourage someone to change. Make sure your comments are about specific behaviour, and offer alternatives – e.g., “When you walk away from someone without saying goodbye it can be seen as rude, so it would be best to make sure the other person has finished what they want to say first.” Try to view mistakes as opportunities for learning.</w:t>
      </w:r>
    </w:p>
    <w:p w14:paraId="7FBC3C98" w14:textId="77777777" w:rsidR="0067118E" w:rsidRPr="004477C7" w:rsidRDefault="0067118E" w:rsidP="004477C7">
      <w:pPr>
        <w:autoSpaceDE w:val="0"/>
        <w:autoSpaceDN w:val="0"/>
        <w:adjustRightInd w:val="0"/>
        <w:spacing w:line="288" w:lineRule="auto"/>
        <w:contextualSpacing/>
        <w:jc w:val="both"/>
        <w:rPr>
          <w:rFonts w:asciiTheme="minorHAnsi" w:hAnsiTheme="minorHAnsi" w:cs="GillSans"/>
          <w:sz w:val="22"/>
          <w:szCs w:val="28"/>
        </w:rPr>
      </w:pPr>
    </w:p>
    <w:p w14:paraId="37EB9885" w14:textId="74E9CCF9" w:rsidR="0067118E" w:rsidRPr="004477C7" w:rsidRDefault="3EEE92E3" w:rsidP="3EEE92E3">
      <w:pPr>
        <w:autoSpaceDE w:val="0"/>
        <w:autoSpaceDN w:val="0"/>
        <w:adjustRightInd w:val="0"/>
        <w:spacing w:line="288" w:lineRule="auto"/>
        <w:contextualSpacing/>
        <w:jc w:val="both"/>
        <w:rPr>
          <w:rFonts w:asciiTheme="minorHAnsi" w:hAnsiTheme="minorHAnsi" w:cs="SCMorgan-Regular"/>
          <w:b/>
          <w:bCs/>
          <w:sz w:val="22"/>
          <w:szCs w:val="22"/>
        </w:rPr>
      </w:pPr>
      <w:r w:rsidRPr="3EEE92E3">
        <w:rPr>
          <w:rFonts w:asciiTheme="minorHAnsi" w:hAnsiTheme="minorHAnsi" w:cs="SCMorgan-Regular"/>
          <w:b/>
          <w:bCs/>
          <w:sz w:val="22"/>
          <w:szCs w:val="22"/>
        </w:rPr>
        <w:t xml:space="preserve">Be descriptive rather than evaluating: </w:t>
      </w:r>
      <w:r w:rsidRPr="3EEE92E3">
        <w:rPr>
          <w:rFonts w:asciiTheme="minorHAnsi" w:hAnsiTheme="minorHAnsi" w:cs="GillSans"/>
          <w:sz w:val="22"/>
          <w:szCs w:val="22"/>
        </w:rPr>
        <w:t>Tell the person what you saw or heard and the effect it had on you, rather than merely describing something as good or bad – e.g., “Your tone of voice when you said that really made me feel you were concerned,” is likely to be more useful than: “That was good.”</w:t>
      </w:r>
    </w:p>
    <w:p w14:paraId="14A17EE1" w14:textId="77777777" w:rsidR="0067118E" w:rsidRPr="004477C7" w:rsidRDefault="0067118E" w:rsidP="004477C7">
      <w:pPr>
        <w:autoSpaceDE w:val="0"/>
        <w:autoSpaceDN w:val="0"/>
        <w:adjustRightInd w:val="0"/>
        <w:spacing w:line="288" w:lineRule="auto"/>
        <w:contextualSpacing/>
        <w:jc w:val="both"/>
        <w:rPr>
          <w:rFonts w:asciiTheme="minorHAnsi" w:hAnsiTheme="minorHAnsi" w:cs="GillSans"/>
          <w:sz w:val="22"/>
          <w:szCs w:val="28"/>
        </w:rPr>
      </w:pPr>
    </w:p>
    <w:p w14:paraId="2D0B54C8" w14:textId="25D3030A" w:rsidR="0067118E" w:rsidRPr="004477C7" w:rsidRDefault="3EEE92E3" w:rsidP="3EEE92E3">
      <w:pPr>
        <w:autoSpaceDE w:val="0"/>
        <w:autoSpaceDN w:val="0"/>
        <w:adjustRightInd w:val="0"/>
        <w:spacing w:line="288" w:lineRule="auto"/>
        <w:contextualSpacing/>
        <w:jc w:val="both"/>
        <w:rPr>
          <w:rFonts w:asciiTheme="minorHAnsi" w:hAnsiTheme="minorHAnsi" w:cs="GillSans"/>
          <w:sz w:val="22"/>
          <w:szCs w:val="22"/>
        </w:rPr>
      </w:pPr>
      <w:r w:rsidRPr="3EEE92E3">
        <w:rPr>
          <w:rFonts w:asciiTheme="minorHAnsi" w:hAnsiTheme="minorHAnsi" w:cs="SCMorgan-Regular"/>
          <w:b/>
          <w:bCs/>
          <w:sz w:val="22"/>
          <w:szCs w:val="22"/>
        </w:rPr>
        <w:t xml:space="preserve">Own the feedback: </w:t>
      </w:r>
      <w:r w:rsidRPr="3EEE92E3">
        <w:rPr>
          <w:rFonts w:asciiTheme="minorHAnsi" w:hAnsiTheme="minorHAnsi" w:cs="GillSans"/>
          <w:sz w:val="22"/>
          <w:szCs w:val="22"/>
        </w:rPr>
        <w:t>It can be easy to say “You are...” to someone, which suggests that you are offering a universally agreed opinion about them. In fact, all we are entitled to give is our own experience of that person at that particular time. It is important to take responsibility for the feedback we offer. Beginning the feedback with “I” or “In my opinion” is a way of avoiding overly-generalised comments about the other person.</w:t>
      </w:r>
    </w:p>
    <w:p w14:paraId="5F361B46" w14:textId="77777777" w:rsidR="0067118E" w:rsidRPr="004477C7" w:rsidRDefault="0067118E" w:rsidP="004477C7">
      <w:pPr>
        <w:autoSpaceDE w:val="0"/>
        <w:autoSpaceDN w:val="0"/>
        <w:adjustRightInd w:val="0"/>
        <w:spacing w:line="288" w:lineRule="auto"/>
        <w:contextualSpacing/>
        <w:jc w:val="both"/>
        <w:rPr>
          <w:rFonts w:asciiTheme="minorHAnsi" w:hAnsiTheme="minorHAnsi" w:cs="SCMorgan-Regular"/>
          <w:sz w:val="22"/>
          <w:szCs w:val="28"/>
        </w:rPr>
      </w:pPr>
    </w:p>
    <w:p w14:paraId="3A47B991" w14:textId="77777777" w:rsidR="0067118E" w:rsidRPr="004477C7" w:rsidRDefault="0067118E" w:rsidP="004477C7">
      <w:pPr>
        <w:autoSpaceDE w:val="0"/>
        <w:autoSpaceDN w:val="0"/>
        <w:adjustRightInd w:val="0"/>
        <w:spacing w:line="288" w:lineRule="auto"/>
        <w:contextualSpacing/>
        <w:jc w:val="both"/>
        <w:rPr>
          <w:rFonts w:asciiTheme="minorHAnsi" w:hAnsiTheme="minorHAnsi" w:cs="SCMorgan-Regular"/>
          <w:b/>
          <w:bCs/>
          <w:sz w:val="22"/>
        </w:rPr>
      </w:pPr>
      <w:r w:rsidRPr="004477C7">
        <w:rPr>
          <w:rFonts w:asciiTheme="minorHAnsi" w:hAnsiTheme="minorHAnsi" w:cs="SCMorgan-Regular"/>
          <w:b/>
          <w:bCs/>
          <w:sz w:val="22"/>
        </w:rPr>
        <w:lastRenderedPageBreak/>
        <w:t xml:space="preserve">Leave the recipient with a choice: </w:t>
      </w:r>
      <w:r w:rsidRPr="004477C7">
        <w:rPr>
          <w:rFonts w:asciiTheme="minorHAnsi" w:hAnsiTheme="minorHAnsi" w:cs="GillSans"/>
          <w:sz w:val="22"/>
        </w:rPr>
        <w:t>Feedback that demands change or is imposed heavily may invite resistance, and is not consistent with the belief that each of us is personally autonomous. Skilled feedback offers people information about themselves in a way that gives them a choice about whether to act on it or not. It may be helpful to examine the consequences of any decision to change or not to change, but that should not involve prescribing change.</w:t>
      </w:r>
    </w:p>
    <w:p w14:paraId="3BE7A603" w14:textId="77777777" w:rsidR="0067118E" w:rsidRPr="004477C7" w:rsidRDefault="0067118E" w:rsidP="004477C7">
      <w:pPr>
        <w:autoSpaceDE w:val="0"/>
        <w:autoSpaceDN w:val="0"/>
        <w:adjustRightInd w:val="0"/>
        <w:spacing w:line="288" w:lineRule="auto"/>
        <w:contextualSpacing/>
        <w:jc w:val="both"/>
        <w:rPr>
          <w:rFonts w:asciiTheme="minorHAnsi" w:hAnsiTheme="minorHAnsi" w:cs="SCMorgan-Regular"/>
          <w:sz w:val="22"/>
          <w:szCs w:val="28"/>
        </w:rPr>
      </w:pPr>
    </w:p>
    <w:p w14:paraId="6F37C22E" w14:textId="77777777" w:rsidR="0067118E" w:rsidRPr="004477C7" w:rsidRDefault="0067118E" w:rsidP="004477C7">
      <w:pPr>
        <w:autoSpaceDE w:val="0"/>
        <w:autoSpaceDN w:val="0"/>
        <w:adjustRightInd w:val="0"/>
        <w:spacing w:line="288" w:lineRule="auto"/>
        <w:contextualSpacing/>
        <w:jc w:val="both"/>
        <w:rPr>
          <w:rFonts w:asciiTheme="minorHAnsi" w:hAnsiTheme="minorHAnsi" w:cs="SCMorgan-Regular"/>
          <w:b/>
          <w:bCs/>
          <w:sz w:val="22"/>
        </w:rPr>
      </w:pPr>
      <w:r w:rsidRPr="004477C7">
        <w:rPr>
          <w:rFonts w:asciiTheme="minorHAnsi" w:hAnsiTheme="minorHAnsi" w:cs="SCMorgan-Regular"/>
          <w:b/>
          <w:bCs/>
          <w:sz w:val="22"/>
        </w:rPr>
        <w:t xml:space="preserve">Give the feedback as soon as you can after the event: </w:t>
      </w:r>
      <w:r w:rsidRPr="004477C7">
        <w:rPr>
          <w:rFonts w:asciiTheme="minorHAnsi" w:hAnsiTheme="minorHAnsi" w:cs="GillSans"/>
          <w:sz w:val="22"/>
        </w:rPr>
        <w:t>Giving feedback as soon as possible after the event makes it more relevant to the individual, and is more likely to inspire change. The event will be fresh in their memory, so feedback will be easier to relate to and less likely to cause resistance or resentment. The only exception would be in prescribed feedback sessions or when you might be so angry that you would be unlikely to give constructive feedback. In this latter case, it might be better to wait until things (and you) have cooled down a bit.</w:t>
      </w:r>
    </w:p>
    <w:p w14:paraId="4377B7A0" w14:textId="77777777" w:rsidR="00CD7134" w:rsidRPr="004477C7" w:rsidRDefault="006F5902" w:rsidP="004477C7">
      <w:pPr>
        <w:jc w:val="both"/>
        <w:rPr>
          <w:rFonts w:asciiTheme="minorHAnsi" w:hAnsiTheme="minorHAnsi"/>
          <w:sz w:val="22"/>
        </w:rPr>
      </w:pPr>
    </w:p>
    <w:p w14:paraId="0C423FB0" w14:textId="77777777" w:rsidR="0098076D" w:rsidRPr="004477C7" w:rsidRDefault="0098076D" w:rsidP="004477C7">
      <w:pPr>
        <w:jc w:val="both"/>
        <w:rPr>
          <w:rFonts w:asciiTheme="minorHAnsi" w:hAnsiTheme="minorHAnsi"/>
          <w:sz w:val="22"/>
        </w:rPr>
      </w:pPr>
    </w:p>
    <w:p w14:paraId="6D7E6C0F" w14:textId="77777777" w:rsidR="0098076D" w:rsidRPr="004477C7" w:rsidRDefault="0098076D" w:rsidP="004477C7">
      <w:pPr>
        <w:jc w:val="both"/>
        <w:rPr>
          <w:rFonts w:asciiTheme="minorHAnsi" w:hAnsiTheme="minorHAnsi"/>
          <w:sz w:val="22"/>
        </w:rPr>
      </w:pPr>
      <w:r w:rsidRPr="004477C7">
        <w:rPr>
          <w:rFonts w:asciiTheme="minorHAnsi" w:hAnsiTheme="minorHAnsi"/>
          <w:sz w:val="22"/>
        </w:rPr>
        <w:t>Y</w:t>
      </w:r>
      <w:r w:rsidR="00EE3C17" w:rsidRPr="004477C7">
        <w:rPr>
          <w:rFonts w:asciiTheme="minorHAnsi" w:hAnsiTheme="minorHAnsi"/>
          <w:sz w:val="22"/>
        </w:rPr>
        <w:t>ou may want to use the formula:</w:t>
      </w:r>
      <w:r w:rsidR="00EE3C17" w:rsidRPr="004477C7">
        <w:rPr>
          <w:rStyle w:val="FootnoteReference"/>
          <w:rFonts w:asciiTheme="minorHAnsi" w:hAnsiTheme="minorHAnsi"/>
          <w:sz w:val="22"/>
        </w:rPr>
        <w:footnoteReference w:id="2"/>
      </w:r>
    </w:p>
    <w:p w14:paraId="70FA141F" w14:textId="77777777" w:rsidR="0098076D" w:rsidRPr="004477C7" w:rsidRDefault="0098076D" w:rsidP="004477C7">
      <w:pPr>
        <w:jc w:val="both"/>
        <w:rPr>
          <w:rFonts w:asciiTheme="minorHAnsi" w:hAnsiTheme="minorHAnsi"/>
          <w:sz w:val="22"/>
        </w:rPr>
      </w:pPr>
    </w:p>
    <w:p w14:paraId="7F92CB01" w14:textId="77777777" w:rsidR="0098076D" w:rsidRPr="004477C7" w:rsidRDefault="0098076D" w:rsidP="004477C7">
      <w:pPr>
        <w:jc w:val="both"/>
        <w:rPr>
          <w:rFonts w:asciiTheme="minorHAnsi" w:hAnsiTheme="minorHAnsi"/>
          <w:b/>
          <w:bCs/>
          <w:sz w:val="22"/>
        </w:rPr>
      </w:pPr>
      <w:r w:rsidRPr="004477C7">
        <w:rPr>
          <w:rFonts w:asciiTheme="minorHAnsi" w:hAnsiTheme="minorHAnsi"/>
          <w:b/>
          <w:bCs/>
          <w:sz w:val="22"/>
        </w:rPr>
        <w:t xml:space="preserve">Behaviour &gt; Impact &gt; Feelings &gt; Future </w:t>
      </w:r>
    </w:p>
    <w:p w14:paraId="7754AB48" w14:textId="77777777" w:rsidR="0098076D" w:rsidRPr="004477C7" w:rsidRDefault="0098076D" w:rsidP="004477C7">
      <w:pPr>
        <w:jc w:val="both"/>
        <w:rPr>
          <w:rFonts w:asciiTheme="minorHAnsi" w:hAnsiTheme="minorHAnsi"/>
          <w:sz w:val="22"/>
        </w:rPr>
      </w:pPr>
    </w:p>
    <w:p w14:paraId="5ED6BB1C" w14:textId="77777777" w:rsidR="0098076D" w:rsidRPr="004477C7" w:rsidRDefault="0098076D" w:rsidP="004477C7">
      <w:pPr>
        <w:pStyle w:val="ListParagraph"/>
        <w:numPr>
          <w:ilvl w:val="0"/>
          <w:numId w:val="1"/>
        </w:numPr>
        <w:jc w:val="both"/>
        <w:rPr>
          <w:rFonts w:asciiTheme="minorHAnsi" w:hAnsiTheme="minorHAnsi"/>
          <w:sz w:val="22"/>
        </w:rPr>
      </w:pPr>
      <w:r w:rsidRPr="004477C7">
        <w:rPr>
          <w:rFonts w:asciiTheme="minorHAnsi" w:hAnsiTheme="minorHAnsi"/>
          <w:sz w:val="22"/>
        </w:rPr>
        <w:t xml:space="preserve">What behaviour you observed. </w:t>
      </w:r>
    </w:p>
    <w:p w14:paraId="1A058690" w14:textId="77777777" w:rsidR="0098076D" w:rsidRPr="004477C7" w:rsidRDefault="0098076D" w:rsidP="004477C7">
      <w:pPr>
        <w:pStyle w:val="ListParagraph"/>
        <w:numPr>
          <w:ilvl w:val="0"/>
          <w:numId w:val="1"/>
        </w:numPr>
        <w:jc w:val="both"/>
        <w:rPr>
          <w:rFonts w:asciiTheme="minorHAnsi" w:hAnsiTheme="minorHAnsi"/>
          <w:sz w:val="22"/>
        </w:rPr>
      </w:pPr>
      <w:r w:rsidRPr="004477C7">
        <w:rPr>
          <w:rFonts w:asciiTheme="minorHAnsi" w:hAnsiTheme="minorHAnsi"/>
          <w:sz w:val="22"/>
        </w:rPr>
        <w:t xml:space="preserve">What impact it had. </w:t>
      </w:r>
    </w:p>
    <w:p w14:paraId="4B7F40BD" w14:textId="77777777" w:rsidR="0098076D" w:rsidRPr="004477C7" w:rsidRDefault="0098076D" w:rsidP="004477C7">
      <w:pPr>
        <w:pStyle w:val="ListParagraph"/>
        <w:numPr>
          <w:ilvl w:val="0"/>
          <w:numId w:val="1"/>
        </w:numPr>
        <w:jc w:val="both"/>
        <w:rPr>
          <w:rFonts w:asciiTheme="minorHAnsi" w:hAnsiTheme="minorHAnsi"/>
          <w:sz w:val="22"/>
        </w:rPr>
      </w:pPr>
      <w:r w:rsidRPr="004477C7">
        <w:rPr>
          <w:rFonts w:asciiTheme="minorHAnsi" w:hAnsiTheme="minorHAnsi"/>
          <w:sz w:val="22"/>
        </w:rPr>
        <w:t xml:space="preserve">How it made you feel. </w:t>
      </w:r>
    </w:p>
    <w:p w14:paraId="1E414D0F" w14:textId="77777777" w:rsidR="0098076D" w:rsidRPr="004477C7" w:rsidRDefault="0098076D" w:rsidP="004477C7">
      <w:pPr>
        <w:pStyle w:val="ListParagraph"/>
        <w:numPr>
          <w:ilvl w:val="0"/>
          <w:numId w:val="1"/>
        </w:numPr>
        <w:jc w:val="both"/>
        <w:rPr>
          <w:rFonts w:asciiTheme="minorHAnsi" w:hAnsiTheme="minorHAnsi"/>
          <w:sz w:val="22"/>
        </w:rPr>
      </w:pPr>
      <w:r w:rsidRPr="004477C7">
        <w:rPr>
          <w:rFonts w:asciiTheme="minorHAnsi" w:hAnsiTheme="minorHAnsi"/>
          <w:sz w:val="22"/>
        </w:rPr>
        <w:t xml:space="preserve">What can be changed for the future? </w:t>
      </w:r>
    </w:p>
    <w:sectPr w:rsidR="0098076D" w:rsidRPr="004477C7" w:rsidSect="004477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706EC" w14:textId="77777777" w:rsidR="006F5902" w:rsidRDefault="006F5902" w:rsidP="0067118E">
      <w:r>
        <w:separator/>
      </w:r>
    </w:p>
  </w:endnote>
  <w:endnote w:type="continuationSeparator" w:id="0">
    <w:p w14:paraId="34B0D8E0" w14:textId="77777777" w:rsidR="006F5902" w:rsidRDefault="006F5902" w:rsidP="006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CMorgan-Regular">
    <w:panose1 w:val="00000000000000000000"/>
    <w:charset w:val="00"/>
    <w:family w:val="auto"/>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77978" w14:textId="77777777" w:rsidR="006F5902" w:rsidRDefault="006F5902" w:rsidP="0067118E">
      <w:r>
        <w:separator/>
      </w:r>
    </w:p>
  </w:footnote>
  <w:footnote w:type="continuationSeparator" w:id="0">
    <w:p w14:paraId="0905E4B1" w14:textId="77777777" w:rsidR="006F5902" w:rsidRDefault="006F5902" w:rsidP="0067118E">
      <w:r>
        <w:continuationSeparator/>
      </w:r>
    </w:p>
  </w:footnote>
  <w:footnote w:id="1">
    <w:p w14:paraId="3AAB7D20" w14:textId="3DBCC6F5" w:rsidR="53F3B7DA" w:rsidRPr="00161357" w:rsidRDefault="53F3B7DA" w:rsidP="004477C7">
      <w:pPr>
        <w:pStyle w:val="FootnoteText"/>
        <w:rPr>
          <w:rStyle w:val="FootnoteReference"/>
          <w:rFonts w:asciiTheme="minorHAnsi" w:hAnsiTheme="minorHAnsi" w:cstheme="minorHAnsi"/>
          <w:b/>
          <w:bCs/>
          <w:u w:val="single"/>
        </w:rPr>
      </w:pPr>
      <w:r w:rsidRPr="00161357">
        <w:rPr>
          <w:rStyle w:val="FootnoteReference"/>
          <w:rFonts w:asciiTheme="minorHAnsi" w:hAnsiTheme="minorHAnsi" w:cstheme="minorHAnsi"/>
        </w:rPr>
        <w:footnoteRef/>
      </w:r>
      <w:r w:rsidR="00161357" w:rsidRPr="00161357">
        <w:rPr>
          <w:rFonts w:asciiTheme="minorHAnsi" w:hAnsiTheme="minorHAnsi" w:cstheme="minorHAnsi"/>
        </w:rPr>
        <w:t xml:space="preserve"> </w:t>
      </w:r>
      <w:r w:rsidR="00161357" w:rsidRPr="00161357">
        <w:rPr>
          <w:rFonts w:asciiTheme="minorHAnsi" w:hAnsiTheme="minorHAnsi"/>
        </w:rPr>
        <w:t>Adapted from the Interagency CP Case Management Training Manual for Caseworkers, Supervisors and Managers (</w:t>
      </w:r>
      <w:hyperlink r:id="rId1" w:history="1">
        <w:r w:rsidR="00161357" w:rsidRPr="00161357">
          <w:rPr>
            <w:rStyle w:val="Hyperlink"/>
            <w:rFonts w:asciiTheme="minorHAnsi" w:hAnsiTheme="minorHAnsi"/>
          </w:rPr>
          <w:t>https://resourcecentre.savethechildren.net/library/inter-agency-guidelines-case-management-and-child-protection</w:t>
        </w:r>
      </w:hyperlink>
      <w:r w:rsidR="00161357" w:rsidRPr="00161357">
        <w:rPr>
          <w:rStyle w:val="Hyperlink"/>
          <w:rFonts w:asciiTheme="minorHAnsi" w:hAnsiTheme="minorHAnsi"/>
        </w:rPr>
        <w:t>)</w:t>
      </w:r>
    </w:p>
  </w:footnote>
  <w:footnote w:id="2">
    <w:p w14:paraId="18F73A1C" w14:textId="29C58D17" w:rsidR="00EE3C17" w:rsidRPr="004477C7" w:rsidRDefault="00EE3C17">
      <w:pPr>
        <w:pStyle w:val="FootnoteText"/>
        <w:rPr>
          <w:rFonts w:asciiTheme="minorHAnsi" w:hAnsiTheme="minorHAnsi"/>
          <w:lang w:val="en-GB"/>
        </w:rPr>
      </w:pPr>
      <w:r w:rsidRPr="53F3B7DA">
        <w:rPr>
          <w:rStyle w:val="FootnoteReference"/>
          <w:rFonts w:asciiTheme="minorHAnsi" w:hAnsiTheme="minorHAnsi"/>
        </w:rPr>
        <w:footnoteRef/>
      </w:r>
      <w:r w:rsidRPr="53F3B7DA">
        <w:rPr>
          <w:rFonts w:asciiTheme="minorHAnsi" w:hAnsiTheme="minorHAnsi"/>
        </w:rPr>
        <w:t xml:space="preserve"> </w:t>
      </w:r>
      <w:r w:rsidR="00161357">
        <w:rPr>
          <w:rFonts w:asciiTheme="minorHAnsi" w:hAnsiTheme="minorHAnsi"/>
          <w:lang w:val="en-GB"/>
        </w:rPr>
        <w:t>Adapted from “</w:t>
      </w:r>
      <w:r w:rsidRPr="53F3B7DA">
        <w:rPr>
          <w:rFonts w:asciiTheme="minorHAnsi" w:hAnsiTheme="minorHAnsi"/>
          <w:lang w:val="en-GB"/>
        </w:rPr>
        <w:t xml:space="preserve">People and Performance </w:t>
      </w:r>
      <w:r w:rsidRPr="53F3B7DA">
        <w:rPr>
          <w:rFonts w:asciiTheme="minorHAnsi" w:hAnsiTheme="minorHAnsi"/>
          <w:lang w:val="en-GB"/>
        </w:rPr>
        <w:t>Management</w:t>
      </w:r>
      <w:r w:rsidR="00161357">
        <w:rPr>
          <w:rFonts w:asciiTheme="minorHAnsi" w:hAnsiTheme="minorHAnsi"/>
          <w:lang w:val="en-GB"/>
        </w:rPr>
        <w:t>”</w:t>
      </w:r>
      <w:bookmarkStart w:id="0" w:name="_GoBack"/>
      <w:bookmarkEnd w:id="0"/>
      <w:r w:rsidRPr="53F3B7DA">
        <w:rPr>
          <w:rFonts w:asciiTheme="minorHAnsi" w:hAnsiTheme="minorHAnsi"/>
          <w:lang w:val="en-GB"/>
        </w:rPr>
        <w:t xml:space="preserve"> (2007), Save the Child</w:t>
      </w:r>
      <w:r w:rsidR="00006259" w:rsidRPr="53F3B7DA">
        <w:rPr>
          <w:rFonts w:asciiTheme="minorHAnsi" w:hAnsiTheme="minorHAnsi"/>
          <w:lang w:val="en-GB"/>
        </w:rPr>
        <w:t>r</w:t>
      </w:r>
      <w:r w:rsidRPr="53F3B7DA">
        <w:rPr>
          <w:rFonts w:asciiTheme="minorHAnsi" w:hAnsiTheme="minorHAnsi"/>
          <w:lang w:val="en-GB"/>
        </w:rPr>
        <w:t xml:space="preserve">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8E"/>
    <w:rsid w:val="00006259"/>
    <w:rsid w:val="00161357"/>
    <w:rsid w:val="0022517B"/>
    <w:rsid w:val="00290739"/>
    <w:rsid w:val="002B62E8"/>
    <w:rsid w:val="00346B4A"/>
    <w:rsid w:val="004477C7"/>
    <w:rsid w:val="004A26E2"/>
    <w:rsid w:val="005273EA"/>
    <w:rsid w:val="006368B9"/>
    <w:rsid w:val="00646EBE"/>
    <w:rsid w:val="0067118E"/>
    <w:rsid w:val="006F5902"/>
    <w:rsid w:val="007A17F5"/>
    <w:rsid w:val="007A647C"/>
    <w:rsid w:val="008031E1"/>
    <w:rsid w:val="008264FF"/>
    <w:rsid w:val="0098076D"/>
    <w:rsid w:val="009D07AB"/>
    <w:rsid w:val="00B01D2C"/>
    <w:rsid w:val="00CE1682"/>
    <w:rsid w:val="00D95BF5"/>
    <w:rsid w:val="00DB09B7"/>
    <w:rsid w:val="00DF1DBB"/>
    <w:rsid w:val="00EE3C17"/>
    <w:rsid w:val="00FB741D"/>
    <w:rsid w:val="3EEE92E3"/>
    <w:rsid w:val="53F3B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customStyle="1" w:styleId="HeaderChar">
    <w:name w:val="Header Char"/>
    <w:aliases w:val="ARC header Char"/>
    <w:basedOn w:val="DefaultParagraphFont"/>
    <w:link w:val="Header"/>
    <w:uiPriority w:val="99"/>
    <w:rsid w:val="0067118E"/>
    <w:rPr>
      <w:rFonts w:ascii="Times New Roman" w:eastAsia="MS Mincho" w:hAnsi="Times New Roman" w:cs="Times New Roman"/>
      <w:sz w:val="24"/>
      <w:szCs w:val="24"/>
      <w:lang w:val="en-AU" w:eastAsia="ja-JP"/>
    </w:rPr>
  </w:style>
  <w:style w:type="paragraph" w:styleId="Footer">
    <w:name w:val="footer"/>
    <w:basedOn w:val="Normal"/>
    <w:link w:val="FooterChar"/>
    <w:uiPriority w:val="99"/>
    <w:unhideWhenUsed/>
    <w:rsid w:val="0067118E"/>
    <w:pPr>
      <w:tabs>
        <w:tab w:val="center" w:pos="4513"/>
        <w:tab w:val="right" w:pos="9026"/>
      </w:tabs>
    </w:pPr>
  </w:style>
  <w:style w:type="character" w:customStyle="1" w:styleId="FooterChar">
    <w:name w:val="Footer Char"/>
    <w:basedOn w:val="DefaultParagraphFont"/>
    <w:link w:val="Footer"/>
    <w:uiPriority w:val="99"/>
    <w:rsid w:val="0067118E"/>
    <w:rPr>
      <w:rFonts w:ascii="Times New Roman" w:eastAsia="MS Mincho" w:hAnsi="Times New Roman" w:cs="Times New Roman"/>
      <w:sz w:val="24"/>
      <w:szCs w:val="24"/>
      <w:lang w:val="en-AU"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eastAsia="MS Mincho" w:hAnsi="Tahoma" w:cs="Tahoma"/>
      <w:sz w:val="16"/>
      <w:szCs w:val="16"/>
      <w:lang w:val="en-AU" w:eastAsia="ja-JP"/>
    </w:rPr>
  </w:style>
  <w:style w:type="paragraph" w:styleId="FootnoteText">
    <w:name w:val="footnote text"/>
    <w:basedOn w:val="Normal"/>
    <w:link w:val="FootnoteTextChar"/>
    <w:uiPriority w:val="99"/>
    <w:semiHidden/>
    <w:unhideWhenUsed/>
    <w:rsid w:val="00DB09B7"/>
    <w:rPr>
      <w:sz w:val="20"/>
      <w:szCs w:val="20"/>
    </w:rPr>
  </w:style>
  <w:style w:type="character" w:customStyle="1" w:styleId="FootnoteTextChar">
    <w:name w:val="Footnote Text Char"/>
    <w:basedOn w:val="DefaultParagraphFont"/>
    <w:link w:val="FootnoteText"/>
    <w:uiPriority w:val="99"/>
    <w:semiHidden/>
    <w:rsid w:val="00DB09B7"/>
    <w:rPr>
      <w:rFonts w:ascii="Times New Roman" w:eastAsia="MS Mincho" w:hAnsi="Times New Roman" w:cs="Times New Roman"/>
      <w:sz w:val="20"/>
      <w:szCs w:val="20"/>
      <w:lang w:val="en-AU"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character" w:styleId="Hyperlink">
    <w:name w:val="Hyperlink"/>
    <w:basedOn w:val="DefaultParagraphFont"/>
    <w:uiPriority w:val="99"/>
    <w:semiHidden/>
    <w:unhideWhenUsed/>
    <w:rsid w:val="001613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sourcecentre.savethechildren.net/library/inter-agency-guidelines-case-management-and-child-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6895C-63F4-4227-86E9-5A98972F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Jones</dc:creator>
  <cp:lastModifiedBy>Colleen Fitzgerald</cp:lastModifiedBy>
  <cp:revision>13</cp:revision>
  <dcterms:created xsi:type="dcterms:W3CDTF">2013-11-01T12:03:00Z</dcterms:created>
  <dcterms:modified xsi:type="dcterms:W3CDTF">2018-05-12T10:59:00Z</dcterms:modified>
</cp:coreProperties>
</file>