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D127A" w14:textId="77777777" w:rsidR="00764C42" w:rsidRDefault="00764C42" w:rsidP="00764C42">
      <w:pPr>
        <w:jc w:val="center"/>
        <w:rPr>
          <w:rFonts w:ascii="Arial" w:hAnsi="Arial" w:cs="Arial"/>
          <w:b/>
          <w:bCs/>
          <w:color w:val="000000" w:themeColor="text1"/>
        </w:rPr>
      </w:pPr>
    </w:p>
    <w:p w14:paraId="5D8A95FB" w14:textId="77777777" w:rsidR="006A76FB" w:rsidRPr="005D7101" w:rsidRDefault="00000000">
      <w:pPr>
        <w:jc w:val="center"/>
        <w:rPr>
          <w:rFonts w:ascii="Arial" w:hAnsi="Arial" w:cs="Arial"/>
          <w:b/>
          <w:bCs/>
          <w:color w:val="000000" w:themeColor="text1"/>
          <w:lang w:val="es-US"/>
        </w:rPr>
      </w:pPr>
      <w:r w:rsidRPr="005D7101">
        <w:rPr>
          <w:rFonts w:ascii="Arial" w:hAnsi="Arial" w:cs="Arial"/>
          <w:b/>
          <w:bCs/>
          <w:color w:val="000000" w:themeColor="text1"/>
          <w:lang w:val="es-US"/>
        </w:rPr>
        <w:t>NO HACER DAÑO</w:t>
      </w:r>
    </w:p>
    <w:p w14:paraId="28A898D9" w14:textId="77777777" w:rsidR="00764C42" w:rsidRPr="005D7101" w:rsidRDefault="00764C42" w:rsidP="00764C42">
      <w:pPr>
        <w:jc w:val="center"/>
        <w:rPr>
          <w:rFonts w:ascii="Arial" w:hAnsi="Arial" w:cs="Arial"/>
          <w:b/>
          <w:bCs/>
          <w:color w:val="000000" w:themeColor="text1"/>
          <w:lang w:val="es-US"/>
        </w:rPr>
      </w:pPr>
    </w:p>
    <w:p w14:paraId="66FC8E6D" w14:textId="77777777" w:rsidR="00764C42" w:rsidRPr="005D7101" w:rsidRDefault="00764C42" w:rsidP="00764C42">
      <w:pPr>
        <w:jc w:val="center"/>
        <w:rPr>
          <w:rFonts w:ascii="Arial" w:hAnsi="Arial" w:cs="Arial"/>
          <w:b/>
          <w:bCs/>
          <w:color w:val="000000" w:themeColor="text1"/>
          <w:lang w:val="es-US"/>
        </w:rPr>
      </w:pPr>
    </w:p>
    <w:p w14:paraId="01F0E463" w14:textId="77777777" w:rsidR="00764C42" w:rsidRPr="005D7101" w:rsidRDefault="00764C42" w:rsidP="00764C42">
      <w:pPr>
        <w:jc w:val="center"/>
        <w:rPr>
          <w:rFonts w:ascii="Arial" w:hAnsi="Arial" w:cs="Arial"/>
          <w:b/>
          <w:bCs/>
          <w:color w:val="000000" w:themeColor="text1"/>
          <w:lang w:val="es-US"/>
        </w:rPr>
      </w:pPr>
    </w:p>
    <w:p w14:paraId="117655F3" w14:textId="77777777" w:rsidR="006A76FB" w:rsidRPr="005D7101" w:rsidRDefault="00000000">
      <w:pPr>
        <w:ind w:right="-180"/>
        <w:rPr>
          <w:lang w:val="es-US"/>
        </w:rPr>
      </w:pPr>
      <w:r>
        <w:rPr>
          <w:noProof/>
          <w:lang w:eastAsia="da-DK"/>
        </w:rPr>
        <w:drawing>
          <wp:anchor distT="0" distB="0" distL="114300" distR="114300" simplePos="0" relativeHeight="251659264" behindDoc="1" locked="0" layoutInCell="1" allowOverlap="1" wp14:anchorId="1330B1C5" wp14:editId="4E209C72">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7101">
        <w:rPr>
          <w:lang w:val="es-US"/>
        </w:rPr>
        <w:t>-----------------------------------------------------------------------------------------------------------------------------------</w:t>
      </w:r>
    </w:p>
    <w:p w14:paraId="03CC16A9" w14:textId="77777777" w:rsidR="00764C42" w:rsidRPr="005D7101" w:rsidRDefault="00764C42" w:rsidP="00764C42">
      <w:pPr>
        <w:jc w:val="center"/>
        <w:rPr>
          <w:rFonts w:ascii="Arial" w:hAnsi="Arial" w:cs="Arial"/>
          <w:b/>
          <w:bCs/>
          <w:color w:val="000000" w:themeColor="text1"/>
          <w:lang w:val="es-US"/>
        </w:rPr>
      </w:pPr>
    </w:p>
    <w:p w14:paraId="1BBD0D61" w14:textId="77777777" w:rsidR="005D7101" w:rsidRPr="005D7101" w:rsidRDefault="005D7101" w:rsidP="005D7101">
      <w:pPr>
        <w:jc w:val="center"/>
        <w:rPr>
          <w:rFonts w:ascii="Arial" w:hAnsi="Arial" w:cs="Arial"/>
          <w:b/>
          <w:bCs/>
          <w:color w:val="000000" w:themeColor="text1"/>
          <w:lang w:val="en-BE"/>
        </w:rPr>
      </w:pPr>
      <w:r w:rsidRPr="005D7101">
        <w:rPr>
          <w:rFonts w:ascii="Arial" w:hAnsi="Arial" w:cs="Arial"/>
          <w:b/>
          <w:bCs/>
          <w:color w:val="000000" w:themeColor="text1"/>
          <w:lang w:val="es-ES_tradnl"/>
        </w:rPr>
        <w:t>PRIORIZAR EL INTERÉS SUPERIOR DE LA/DEL MENOR</w:t>
      </w:r>
    </w:p>
    <w:p w14:paraId="30437AD4" w14:textId="77777777" w:rsidR="00764C42" w:rsidRPr="005D7101" w:rsidRDefault="00764C42" w:rsidP="00764C42">
      <w:pPr>
        <w:jc w:val="center"/>
        <w:rPr>
          <w:rFonts w:ascii="Arial" w:hAnsi="Arial" w:cs="Arial"/>
          <w:b/>
          <w:bCs/>
          <w:color w:val="000000" w:themeColor="text1"/>
          <w:lang w:val="en-BE"/>
        </w:rPr>
      </w:pPr>
    </w:p>
    <w:p w14:paraId="27CBEA7D" w14:textId="77777777" w:rsidR="00764C42" w:rsidRPr="005D7101" w:rsidRDefault="00764C42" w:rsidP="00764C42">
      <w:pPr>
        <w:jc w:val="center"/>
        <w:rPr>
          <w:rFonts w:ascii="Arial" w:hAnsi="Arial" w:cs="Arial"/>
          <w:b/>
          <w:bCs/>
          <w:color w:val="000000" w:themeColor="text1"/>
          <w:lang w:val="es-US"/>
        </w:rPr>
      </w:pPr>
    </w:p>
    <w:p w14:paraId="54EF7E39" w14:textId="77777777" w:rsidR="006A76FB" w:rsidRPr="005D7101" w:rsidRDefault="00000000">
      <w:pPr>
        <w:ind w:right="-180"/>
        <w:rPr>
          <w:lang w:val="es-US"/>
        </w:rPr>
      </w:pPr>
      <w:r>
        <w:rPr>
          <w:noProof/>
          <w:lang w:eastAsia="da-DK"/>
        </w:rPr>
        <w:drawing>
          <wp:anchor distT="0" distB="0" distL="114300" distR="114300" simplePos="0" relativeHeight="251661312" behindDoc="1" locked="0" layoutInCell="1" allowOverlap="1" wp14:anchorId="541E9F00" wp14:editId="35C697D2">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7101">
        <w:rPr>
          <w:lang w:val="es-US"/>
        </w:rPr>
        <w:t>-----------------------------------------------------------------------------------------------------------------------------------</w:t>
      </w:r>
    </w:p>
    <w:p w14:paraId="02CA2F1F" w14:textId="77777777" w:rsidR="00764C42" w:rsidRPr="005D7101" w:rsidRDefault="00764C42" w:rsidP="00764C42">
      <w:pPr>
        <w:jc w:val="center"/>
        <w:rPr>
          <w:rFonts w:ascii="Arial" w:hAnsi="Arial" w:cs="Arial"/>
          <w:b/>
          <w:bCs/>
          <w:color w:val="000000" w:themeColor="text1"/>
          <w:lang w:val="es-US"/>
        </w:rPr>
      </w:pPr>
    </w:p>
    <w:p w14:paraId="2C79F4FD" w14:textId="77777777" w:rsidR="005D7101" w:rsidRPr="005D7101" w:rsidRDefault="005D7101" w:rsidP="005D7101">
      <w:pPr>
        <w:jc w:val="center"/>
        <w:rPr>
          <w:rFonts w:ascii="Arial" w:hAnsi="Arial" w:cs="Arial"/>
          <w:b/>
          <w:bCs/>
          <w:color w:val="000000" w:themeColor="text1"/>
          <w:lang w:val="en-BE"/>
        </w:rPr>
      </w:pPr>
      <w:r w:rsidRPr="005D7101">
        <w:rPr>
          <w:rFonts w:ascii="Arial" w:hAnsi="Arial" w:cs="Arial"/>
          <w:b/>
          <w:bCs/>
          <w:color w:val="000000" w:themeColor="text1"/>
          <w:lang w:val="es-ES_tradnl"/>
        </w:rPr>
        <w:t>NO DISCRIMINACIÓN</w:t>
      </w:r>
    </w:p>
    <w:p w14:paraId="09348C22" w14:textId="77777777" w:rsidR="00764C42" w:rsidRPr="005D7101" w:rsidRDefault="00764C42" w:rsidP="00764C42">
      <w:pPr>
        <w:jc w:val="center"/>
        <w:rPr>
          <w:rFonts w:ascii="Arial" w:hAnsi="Arial" w:cs="Arial"/>
          <w:b/>
          <w:bCs/>
          <w:color w:val="000000" w:themeColor="text1"/>
          <w:lang w:val="es-US"/>
        </w:rPr>
      </w:pPr>
    </w:p>
    <w:p w14:paraId="3FF0A3B5" w14:textId="77777777" w:rsidR="00764C42" w:rsidRPr="005D7101" w:rsidRDefault="00764C42" w:rsidP="00764C42">
      <w:pPr>
        <w:jc w:val="center"/>
        <w:rPr>
          <w:rFonts w:ascii="Arial" w:hAnsi="Arial" w:cs="Arial"/>
          <w:b/>
          <w:bCs/>
          <w:color w:val="000000" w:themeColor="text1"/>
          <w:lang w:val="es-US"/>
        </w:rPr>
      </w:pPr>
    </w:p>
    <w:p w14:paraId="0DC528CE" w14:textId="77777777" w:rsidR="006A76FB" w:rsidRPr="005D7101" w:rsidRDefault="00000000">
      <w:pPr>
        <w:ind w:right="-180"/>
        <w:rPr>
          <w:lang w:val="es-US"/>
        </w:rPr>
      </w:pPr>
      <w:r>
        <w:rPr>
          <w:noProof/>
          <w:lang w:eastAsia="da-DK"/>
        </w:rPr>
        <w:drawing>
          <wp:anchor distT="0" distB="0" distL="114300" distR="114300" simplePos="0" relativeHeight="251663360" behindDoc="1" locked="0" layoutInCell="1" allowOverlap="1" wp14:anchorId="1EBB1E72" wp14:editId="0B8BB603">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7101">
        <w:rPr>
          <w:lang w:val="es-US"/>
        </w:rPr>
        <w:t>-----------------------------------------------------------------------------------------------------------------------------------</w:t>
      </w:r>
    </w:p>
    <w:p w14:paraId="7F5B22AE" w14:textId="77777777" w:rsidR="005D7101" w:rsidRDefault="005D7101" w:rsidP="005D7101">
      <w:pPr>
        <w:jc w:val="center"/>
        <w:rPr>
          <w:rFonts w:ascii="Arial" w:hAnsi="Arial" w:cs="Arial"/>
          <w:b/>
          <w:bCs/>
          <w:color w:val="000000" w:themeColor="text1"/>
          <w:lang w:val="es-ES_tradnl"/>
        </w:rPr>
      </w:pPr>
    </w:p>
    <w:p w14:paraId="42F87AFF" w14:textId="1F078A8E" w:rsidR="005D7101" w:rsidRPr="005D7101" w:rsidRDefault="005D7101" w:rsidP="005D7101">
      <w:pPr>
        <w:jc w:val="center"/>
        <w:rPr>
          <w:rFonts w:ascii="Arial" w:hAnsi="Arial" w:cs="Arial"/>
          <w:b/>
          <w:bCs/>
          <w:color w:val="000000" w:themeColor="text1"/>
          <w:lang w:val="en-BE"/>
        </w:rPr>
      </w:pPr>
      <w:r w:rsidRPr="005D7101">
        <w:rPr>
          <w:rFonts w:ascii="Arial" w:hAnsi="Arial" w:cs="Arial"/>
          <w:b/>
          <w:bCs/>
          <w:color w:val="000000" w:themeColor="text1"/>
          <w:lang w:val="es-ES_tradnl"/>
        </w:rPr>
        <w:t>SOLICITAR EL CONSENTIMIENTO Y/O ASENTIMIENTO INFORMADO</w:t>
      </w:r>
    </w:p>
    <w:p w14:paraId="2286A46B" w14:textId="77777777" w:rsidR="00764C42" w:rsidRDefault="00764C42" w:rsidP="00764C42">
      <w:pPr>
        <w:jc w:val="center"/>
        <w:rPr>
          <w:rFonts w:ascii="Arial" w:hAnsi="Arial" w:cs="Arial"/>
          <w:b/>
          <w:bCs/>
          <w:color w:val="000000" w:themeColor="text1"/>
          <w:lang w:val="es-US"/>
        </w:rPr>
      </w:pPr>
    </w:p>
    <w:p w14:paraId="6664344F" w14:textId="77777777" w:rsidR="005D7101" w:rsidRPr="005D7101" w:rsidRDefault="005D7101" w:rsidP="00764C42">
      <w:pPr>
        <w:jc w:val="center"/>
        <w:rPr>
          <w:rFonts w:ascii="Arial" w:hAnsi="Arial" w:cs="Arial"/>
          <w:b/>
          <w:bCs/>
          <w:color w:val="000000" w:themeColor="text1"/>
          <w:lang w:val="es-US"/>
        </w:rPr>
      </w:pPr>
    </w:p>
    <w:p w14:paraId="225E6388" w14:textId="77777777" w:rsidR="006A76FB" w:rsidRPr="005D7101" w:rsidRDefault="00000000">
      <w:pPr>
        <w:ind w:right="-180"/>
        <w:rPr>
          <w:lang w:val="es-US"/>
        </w:rPr>
      </w:pPr>
      <w:r>
        <w:rPr>
          <w:noProof/>
          <w:lang w:eastAsia="da-DK"/>
        </w:rPr>
        <w:drawing>
          <wp:anchor distT="0" distB="0" distL="114300" distR="114300" simplePos="0" relativeHeight="251665408" behindDoc="1" locked="0" layoutInCell="1" allowOverlap="1" wp14:anchorId="09D24638" wp14:editId="62DC7D80">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7101">
        <w:rPr>
          <w:lang w:val="es-US"/>
        </w:rPr>
        <w:t>-----------------------------------------------------------------------------------------------------------------------------------</w:t>
      </w:r>
    </w:p>
    <w:p w14:paraId="1A1D16E6" w14:textId="77777777" w:rsidR="00764C42" w:rsidRPr="005D7101" w:rsidRDefault="00764C42" w:rsidP="00764C42">
      <w:pPr>
        <w:jc w:val="center"/>
        <w:rPr>
          <w:rFonts w:ascii="Arial" w:hAnsi="Arial" w:cs="Arial"/>
          <w:b/>
          <w:bCs/>
          <w:color w:val="000000" w:themeColor="text1"/>
          <w:lang w:val="es-US"/>
        </w:rPr>
      </w:pPr>
    </w:p>
    <w:p w14:paraId="0FB99E7B" w14:textId="77777777" w:rsidR="005D7101" w:rsidRPr="005D7101" w:rsidRDefault="005D7101" w:rsidP="005D7101">
      <w:pPr>
        <w:jc w:val="center"/>
        <w:rPr>
          <w:rFonts w:ascii="Arial" w:hAnsi="Arial" w:cs="Arial"/>
          <w:b/>
          <w:bCs/>
          <w:color w:val="000000" w:themeColor="text1"/>
          <w:lang w:val="en-BE"/>
        </w:rPr>
      </w:pPr>
      <w:r w:rsidRPr="005D7101">
        <w:rPr>
          <w:rFonts w:ascii="Arial" w:hAnsi="Arial" w:cs="Arial"/>
          <w:b/>
          <w:bCs/>
          <w:color w:val="000000" w:themeColor="text1"/>
          <w:lang w:val="es-ES_tradnl"/>
        </w:rPr>
        <w:t>RESPETAR LA CONFIDENCIALIDAD</w:t>
      </w:r>
    </w:p>
    <w:p w14:paraId="6275893F" w14:textId="77777777" w:rsidR="00764C42" w:rsidRPr="005D7101" w:rsidRDefault="00764C42" w:rsidP="00764C42">
      <w:pPr>
        <w:jc w:val="center"/>
        <w:rPr>
          <w:rFonts w:ascii="Arial" w:hAnsi="Arial" w:cs="Arial"/>
          <w:b/>
          <w:bCs/>
          <w:color w:val="000000" w:themeColor="text1"/>
          <w:lang w:val="es-US"/>
        </w:rPr>
      </w:pPr>
    </w:p>
    <w:p w14:paraId="521F14D2" w14:textId="77777777" w:rsidR="00764C42" w:rsidRPr="005D7101" w:rsidRDefault="00764C42" w:rsidP="00764C42">
      <w:pPr>
        <w:jc w:val="center"/>
        <w:rPr>
          <w:rFonts w:ascii="Arial" w:hAnsi="Arial" w:cs="Arial"/>
          <w:b/>
          <w:bCs/>
          <w:color w:val="000000" w:themeColor="text1"/>
          <w:lang w:val="es-US"/>
        </w:rPr>
      </w:pPr>
    </w:p>
    <w:p w14:paraId="0D6E9B74" w14:textId="77777777" w:rsidR="00764C42" w:rsidRPr="005D7101" w:rsidRDefault="00764C42" w:rsidP="00764C42">
      <w:pPr>
        <w:jc w:val="center"/>
        <w:rPr>
          <w:rFonts w:ascii="Arial" w:hAnsi="Arial" w:cs="Arial"/>
          <w:b/>
          <w:bCs/>
          <w:color w:val="000000" w:themeColor="text1"/>
          <w:lang w:val="es-US"/>
        </w:rPr>
      </w:pPr>
    </w:p>
    <w:p w14:paraId="674E587A" w14:textId="77777777" w:rsidR="006A76FB" w:rsidRPr="005D7101" w:rsidRDefault="00000000">
      <w:pPr>
        <w:ind w:right="-180"/>
        <w:rPr>
          <w:lang w:val="es-US"/>
        </w:rPr>
      </w:pPr>
      <w:r>
        <w:rPr>
          <w:noProof/>
          <w:lang w:eastAsia="da-DK"/>
        </w:rPr>
        <w:drawing>
          <wp:anchor distT="0" distB="0" distL="114300" distR="114300" simplePos="0" relativeHeight="251667456" behindDoc="1" locked="0" layoutInCell="1" allowOverlap="1" wp14:anchorId="3FC78951" wp14:editId="64EBBEE4">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7101">
        <w:rPr>
          <w:lang w:val="es-US"/>
        </w:rPr>
        <w:t>-----------------------------------------------------------------------------------------------------------------------------------</w:t>
      </w:r>
    </w:p>
    <w:p w14:paraId="0347093E" w14:textId="77777777" w:rsidR="005D7101" w:rsidRPr="005D7101" w:rsidRDefault="005D7101" w:rsidP="005D7101">
      <w:pPr>
        <w:jc w:val="center"/>
        <w:rPr>
          <w:rFonts w:ascii="Arial" w:hAnsi="Arial" w:cs="Arial"/>
          <w:b/>
          <w:bCs/>
          <w:color w:val="000000" w:themeColor="text1"/>
          <w:lang w:val="en-BE"/>
        </w:rPr>
      </w:pPr>
      <w:r w:rsidRPr="005D7101">
        <w:rPr>
          <w:rFonts w:ascii="Arial" w:hAnsi="Arial" w:cs="Arial"/>
          <w:b/>
          <w:bCs/>
          <w:color w:val="000000" w:themeColor="text1"/>
          <w:lang w:val="es-ES_tradnl"/>
        </w:rPr>
        <w:t>GARANTIZAR LA RESPONSABILIDAD</w:t>
      </w:r>
    </w:p>
    <w:p w14:paraId="31FD30A4" w14:textId="77777777" w:rsidR="00764C42" w:rsidRPr="005D7101" w:rsidRDefault="00764C42" w:rsidP="00764C42">
      <w:pPr>
        <w:jc w:val="center"/>
        <w:rPr>
          <w:rFonts w:ascii="Arial" w:hAnsi="Arial" w:cs="Arial"/>
          <w:b/>
          <w:bCs/>
          <w:color w:val="000000" w:themeColor="text1"/>
          <w:lang w:val="es-US"/>
        </w:rPr>
      </w:pPr>
    </w:p>
    <w:p w14:paraId="593FE1D6" w14:textId="77777777" w:rsidR="00764C42" w:rsidRPr="005D7101" w:rsidRDefault="00764C42" w:rsidP="00764C42">
      <w:pPr>
        <w:jc w:val="center"/>
        <w:rPr>
          <w:rFonts w:ascii="Arial" w:hAnsi="Arial" w:cs="Arial"/>
          <w:b/>
          <w:bCs/>
          <w:color w:val="000000" w:themeColor="text1"/>
          <w:lang w:val="es-US"/>
        </w:rPr>
      </w:pPr>
    </w:p>
    <w:p w14:paraId="02C7BBEB" w14:textId="77777777" w:rsidR="006A76FB" w:rsidRPr="005D7101" w:rsidRDefault="00000000">
      <w:pPr>
        <w:rPr>
          <w:rFonts w:ascii="Arial" w:hAnsi="Arial" w:cs="Arial"/>
          <w:color w:val="000000"/>
          <w:lang w:val="es-US"/>
        </w:rPr>
      </w:pPr>
      <w:r w:rsidRPr="005D7101">
        <w:rPr>
          <w:rFonts w:ascii="Arial" w:hAnsi="Arial" w:cs="Arial"/>
          <w:color w:val="000000"/>
          <w:lang w:val="es-US"/>
        </w:rPr>
        <w:lastRenderedPageBreak/>
        <w:t>Esto significa garantizar que las acciones e intervenciones diseñadas para apoyar al menor (y a su familia) no les expongan a más daños. En cada paso del proceso de gestión de casos, debe velarse por que los niños o sus familias no sufran ningún daño como consecuencia de la conducta del asistente social, las decisiones tomadas o las medidas adoptadas en nombre del niño o la familia.</w:t>
      </w:r>
    </w:p>
    <w:p w14:paraId="4380CC6F" w14:textId="77777777" w:rsidR="006A76FB" w:rsidRPr="005D7101" w:rsidRDefault="00000000">
      <w:pPr>
        <w:ind w:right="-180"/>
        <w:rPr>
          <w:lang w:val="es-US"/>
        </w:rPr>
      </w:pPr>
      <w:r>
        <w:rPr>
          <w:noProof/>
          <w:lang w:eastAsia="da-DK"/>
        </w:rPr>
        <w:drawing>
          <wp:anchor distT="0" distB="0" distL="114300" distR="114300" simplePos="0" relativeHeight="251669504" behindDoc="1" locked="0" layoutInCell="1" allowOverlap="1" wp14:anchorId="43072232" wp14:editId="03B7AB30">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7101">
        <w:rPr>
          <w:lang w:val="es-US"/>
        </w:rPr>
        <w:t>-----------------------------------------------------------------------------------------------------------------------------------</w:t>
      </w:r>
    </w:p>
    <w:p w14:paraId="3F2FA2A8" w14:textId="77777777" w:rsidR="006A76FB" w:rsidRPr="005D7101" w:rsidRDefault="00000000">
      <w:pPr>
        <w:rPr>
          <w:rFonts w:ascii="Arial" w:hAnsi="Arial" w:cs="Arial"/>
          <w:color w:val="000000"/>
          <w:lang w:val="es-US"/>
        </w:rPr>
      </w:pPr>
      <w:r w:rsidRPr="005D7101">
        <w:rPr>
          <w:rFonts w:ascii="Arial" w:hAnsi="Arial" w:cs="Arial"/>
          <w:color w:val="000000"/>
          <w:lang w:val="es-US"/>
        </w:rPr>
        <w:t>El interés superior del menor debe constituir la base de todas las decisiones y medidas adoptadas, así como de la forma en que los proveedores de servicios interactúan con los menores y sus familias. Los trabajadores sociales y sus supervisores deben evaluar constantemente los riesgos y recursos del niño y su entorno, así como las consecuencias positivas y negativas de las acciones, y discutirlas con el niño y sus cuidadores a la hora de tomar decisiones.</w:t>
      </w:r>
    </w:p>
    <w:p w14:paraId="217FD9D4" w14:textId="77777777" w:rsidR="006A76FB" w:rsidRPr="005D7101" w:rsidRDefault="00000000">
      <w:pPr>
        <w:ind w:right="-180"/>
        <w:rPr>
          <w:lang w:val="es-US"/>
        </w:rPr>
      </w:pPr>
      <w:r>
        <w:rPr>
          <w:noProof/>
          <w:lang w:eastAsia="da-DK"/>
        </w:rPr>
        <w:drawing>
          <wp:anchor distT="0" distB="0" distL="114300" distR="114300" simplePos="0" relativeHeight="251671552" behindDoc="1" locked="0" layoutInCell="1" allowOverlap="1" wp14:anchorId="382F0DCE" wp14:editId="0031689D">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7101">
        <w:rPr>
          <w:lang w:val="es-US"/>
        </w:rPr>
        <w:t>-----------------------------------------------------------------------------------------------------------------------------------</w:t>
      </w:r>
    </w:p>
    <w:p w14:paraId="40D468D7" w14:textId="77777777" w:rsidR="006A76FB" w:rsidRPr="005D7101" w:rsidRDefault="00000000">
      <w:pPr>
        <w:pStyle w:val="NormalWeb"/>
        <w:spacing w:before="0" w:beforeAutospacing="0" w:after="0" w:afterAutospacing="0"/>
        <w:jc w:val="both"/>
        <w:rPr>
          <w:lang w:val="es-US"/>
        </w:rPr>
      </w:pPr>
      <w:r w:rsidRPr="005D7101">
        <w:rPr>
          <w:rFonts w:ascii="Arial" w:hAnsi="Arial" w:cs="Arial"/>
          <w:color w:val="000000"/>
          <w:lang w:val="es-US"/>
        </w:rPr>
        <w:t xml:space="preserve">Significa garantizar que no se discrimine a los niños (que no se les trate bien o se les nieguen servicios) por sus características individuales o las de un grupo al que pertenezcan (por ejemplo, sexo, edad, origen socioeconómico, raza, religión, etnia, discapacidad, orientación sexual o identidad de género). </w:t>
      </w:r>
    </w:p>
    <w:p w14:paraId="2FC6DD3E" w14:textId="77777777" w:rsidR="006A76FB" w:rsidRPr="005D7101" w:rsidRDefault="00000000">
      <w:pPr>
        <w:ind w:right="-180"/>
        <w:rPr>
          <w:lang w:val="es-US"/>
        </w:rPr>
      </w:pPr>
      <w:r>
        <w:rPr>
          <w:noProof/>
          <w:lang w:eastAsia="da-DK"/>
        </w:rPr>
        <w:drawing>
          <wp:anchor distT="0" distB="0" distL="114300" distR="114300" simplePos="0" relativeHeight="251673600" behindDoc="1" locked="0" layoutInCell="1" allowOverlap="1" wp14:anchorId="0286FB2C" wp14:editId="0F5E79F1">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7101">
        <w:rPr>
          <w:lang w:val="es-US"/>
        </w:rPr>
        <w:t>-----------------------------------------------------------------------------------------------------------------------------------</w:t>
      </w:r>
    </w:p>
    <w:p w14:paraId="7B2264E4" w14:textId="77777777" w:rsidR="006A76FB" w:rsidRPr="005D7101" w:rsidRDefault="00000000">
      <w:pPr>
        <w:pStyle w:val="NormalWeb"/>
        <w:spacing w:before="0" w:beforeAutospacing="0" w:after="0" w:afterAutospacing="0"/>
        <w:jc w:val="both"/>
        <w:rPr>
          <w:lang w:val="es-US"/>
        </w:rPr>
      </w:pPr>
      <w:r w:rsidRPr="005D7101">
        <w:rPr>
          <w:rFonts w:ascii="Arial" w:hAnsi="Arial" w:cs="Arial"/>
          <w:color w:val="000000"/>
          <w:lang w:val="es-US"/>
        </w:rPr>
        <w:t xml:space="preserve">El acuerdo voluntario de una persona que tiene capacidad para dar su consentimiento y que ejerce una elección libre e informada. En todas las circunstancias, debe solicitarse el consentimiento de los niños y sus familias o cuidadores antes de prestar los servicios. Para garantizar el consentimiento informado, los asistentes sociales deben asegurarse de que los niños y sus familias entienden perfectamente: los servicios y las opciones disponibles (por ejemplo, el proceso de gestión de casos), los posibles riesgos y beneficios de recibir servicios, la información que se recopilará y cómo se utilizará, y la confidencialidad y sus límites. </w:t>
      </w:r>
    </w:p>
    <w:p w14:paraId="71858911" w14:textId="77777777" w:rsidR="006A76FB" w:rsidRPr="005D7101" w:rsidRDefault="00000000">
      <w:pPr>
        <w:ind w:right="-180"/>
        <w:rPr>
          <w:lang w:val="es-US"/>
        </w:rPr>
      </w:pPr>
      <w:r>
        <w:rPr>
          <w:noProof/>
          <w:lang w:eastAsia="da-DK"/>
        </w:rPr>
        <w:drawing>
          <wp:anchor distT="0" distB="0" distL="114300" distR="114300" simplePos="0" relativeHeight="251675648" behindDoc="1" locked="0" layoutInCell="1" allowOverlap="1" wp14:anchorId="3678C1D2" wp14:editId="51B0607B">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7101">
        <w:rPr>
          <w:lang w:val="es-US"/>
        </w:rPr>
        <w:t>-----------------------------------------------------------------------------------------------------------------------------------</w:t>
      </w:r>
    </w:p>
    <w:p w14:paraId="2AE85653" w14:textId="77777777" w:rsidR="006A76FB" w:rsidRPr="005D7101" w:rsidRDefault="00000000">
      <w:pPr>
        <w:rPr>
          <w:rFonts w:ascii="Arial" w:hAnsi="Arial" w:cs="Arial"/>
          <w:color w:val="000000"/>
          <w:lang w:val="es-US"/>
        </w:rPr>
      </w:pPr>
      <w:r w:rsidRPr="005D7101">
        <w:rPr>
          <w:rFonts w:ascii="Arial" w:hAnsi="Arial" w:cs="Arial"/>
          <w:color w:val="000000"/>
          <w:lang w:val="es-US"/>
        </w:rPr>
        <w:t>La confidencialidad está vinculada a compartir información en función de la necesidad de conocerla. El término "necesidad de conocer" describe la limitación de la información que se considera sensible y el hecho de compartirla sólo con aquellas personas y compartirla sólo con aquellas personas que necesitan la información para proteger al niño. Cualquier información sensible e identificativa que se recopile sobre los niños sólo debe compartirse, en función de la necesidad de conocerla, con el menor número posible de personas. El respeto de la confidencialidad exige que los proveedores de servicios protejan la información recopilada sobre los clientes y garanticen que sólo se pueda acceder a ella con el permiso explícito del cliente.</w:t>
      </w:r>
    </w:p>
    <w:p w14:paraId="2E447F73" w14:textId="77777777" w:rsidR="006A76FB" w:rsidRPr="005D7101" w:rsidRDefault="00000000">
      <w:pPr>
        <w:ind w:right="-180"/>
        <w:rPr>
          <w:lang w:val="es-US"/>
        </w:rPr>
      </w:pPr>
      <w:r>
        <w:rPr>
          <w:noProof/>
          <w:lang w:eastAsia="da-DK"/>
        </w:rPr>
        <w:drawing>
          <wp:anchor distT="0" distB="0" distL="114300" distR="114300" simplePos="0" relativeHeight="251677696" behindDoc="1" locked="0" layoutInCell="1" allowOverlap="1" wp14:anchorId="76721FE7" wp14:editId="133EDD3A">
            <wp:simplePos x="0" y="0"/>
            <wp:positionH relativeFrom="column">
              <wp:posOffset>5822899</wp:posOffset>
            </wp:positionH>
            <wp:positionV relativeFrom="paragraph">
              <wp:posOffset>5867</wp:posOffset>
            </wp:positionV>
            <wp:extent cx="295275" cy="228600"/>
            <wp:effectExtent l="0" t="0" r="9525" b="0"/>
            <wp:wrapThrough wrapText="bothSides">
              <wp:wrapPolygon edited="0">
                <wp:start x="0" y="0"/>
                <wp:lineTo x="0" y="19800"/>
                <wp:lineTo x="20903" y="19800"/>
                <wp:lineTo x="20903"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7041" t="59014" r="58134" b="35010"/>
                    <a:stretch/>
                  </pic:blipFill>
                  <pic:spPr bwMode="auto">
                    <a:xfrm>
                      <a:off x="0" y="0"/>
                      <a:ext cx="2952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7101">
        <w:rPr>
          <w:lang w:val="es-US"/>
        </w:rPr>
        <w:t>-----------------------------------------------------------------------------------------------------------------------------------</w:t>
      </w:r>
    </w:p>
    <w:p w14:paraId="14DA3BB1" w14:textId="77777777" w:rsidR="006A76FB" w:rsidRPr="005D7101" w:rsidRDefault="00000000">
      <w:pPr>
        <w:rPr>
          <w:rFonts w:ascii="Arial" w:hAnsi="Arial" w:cs="Arial"/>
          <w:b/>
          <w:bCs/>
          <w:color w:val="000000" w:themeColor="text1"/>
          <w:lang w:val="es-US"/>
        </w:rPr>
      </w:pPr>
      <w:r w:rsidRPr="005D7101">
        <w:rPr>
          <w:rFonts w:ascii="Arial" w:hAnsi="Arial" w:cs="Arial"/>
          <w:color w:val="000000"/>
          <w:lang w:val="es-US"/>
        </w:rPr>
        <w:t xml:space="preserve">La rendición de cuentas se refiere a ser considerado responsable de las acciones propias y de los resultados de dichas acciones. Los organismos y el personal que participan en la gestión de casos son responsables ante el niño, la familia y la comunidad. Los organismos y las personas que se ocupan de la gestión de casos deben cumplir el marco jurídico y político nacional. También deberán cumplir los códigos de conducta profesional, cuando existan. En ausencia de </w:t>
      </w:r>
      <w:r w:rsidRPr="005D7101">
        <w:rPr>
          <w:rFonts w:ascii="Arial" w:hAnsi="Arial" w:cs="Arial"/>
          <w:color w:val="000000"/>
          <w:lang w:val="es-US"/>
        </w:rPr>
        <w:lastRenderedPageBreak/>
        <w:t>un marco jurídico, los principios rectores y las normas de buenas prácticas descritas en el CPMS proporcionan una base para la práctica.</w:t>
      </w:r>
    </w:p>
    <w:sectPr w:rsidR="006A76FB" w:rsidRPr="005D7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E5"/>
    <w:rsid w:val="002C21C4"/>
    <w:rsid w:val="003C13E5"/>
    <w:rsid w:val="004874C2"/>
    <w:rsid w:val="005D7101"/>
    <w:rsid w:val="006A76FB"/>
    <w:rsid w:val="00764C42"/>
    <w:rsid w:val="00A74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8EC6"/>
  <w15:chartTrackingRefBased/>
  <w15:docId w15:val="{FF5C2E26-9324-450A-8B70-8A933343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4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8640">
      <w:bodyDiv w:val="1"/>
      <w:marLeft w:val="0"/>
      <w:marRight w:val="0"/>
      <w:marTop w:val="0"/>
      <w:marBottom w:val="0"/>
      <w:divBdr>
        <w:top w:val="none" w:sz="0" w:space="0" w:color="auto"/>
        <w:left w:val="none" w:sz="0" w:space="0" w:color="auto"/>
        <w:bottom w:val="none" w:sz="0" w:space="0" w:color="auto"/>
        <w:right w:val="none" w:sz="0" w:space="0" w:color="auto"/>
      </w:divBdr>
    </w:div>
    <w:div w:id="182983998">
      <w:bodyDiv w:val="1"/>
      <w:marLeft w:val="0"/>
      <w:marRight w:val="0"/>
      <w:marTop w:val="0"/>
      <w:marBottom w:val="0"/>
      <w:divBdr>
        <w:top w:val="none" w:sz="0" w:space="0" w:color="auto"/>
        <w:left w:val="none" w:sz="0" w:space="0" w:color="auto"/>
        <w:bottom w:val="none" w:sz="0" w:space="0" w:color="auto"/>
        <w:right w:val="none" w:sz="0" w:space="0" w:color="auto"/>
      </w:divBdr>
    </w:div>
    <w:div w:id="496922662">
      <w:bodyDiv w:val="1"/>
      <w:marLeft w:val="0"/>
      <w:marRight w:val="0"/>
      <w:marTop w:val="0"/>
      <w:marBottom w:val="0"/>
      <w:divBdr>
        <w:top w:val="none" w:sz="0" w:space="0" w:color="auto"/>
        <w:left w:val="none" w:sz="0" w:space="0" w:color="auto"/>
        <w:bottom w:val="none" w:sz="0" w:space="0" w:color="auto"/>
        <w:right w:val="none" w:sz="0" w:space="0" w:color="auto"/>
      </w:divBdr>
    </w:div>
    <w:div w:id="624428109">
      <w:bodyDiv w:val="1"/>
      <w:marLeft w:val="0"/>
      <w:marRight w:val="0"/>
      <w:marTop w:val="0"/>
      <w:marBottom w:val="0"/>
      <w:divBdr>
        <w:top w:val="none" w:sz="0" w:space="0" w:color="auto"/>
        <w:left w:val="none" w:sz="0" w:space="0" w:color="auto"/>
        <w:bottom w:val="none" w:sz="0" w:space="0" w:color="auto"/>
        <w:right w:val="none" w:sz="0" w:space="0" w:color="auto"/>
      </w:divBdr>
    </w:div>
    <w:div w:id="942608987">
      <w:bodyDiv w:val="1"/>
      <w:marLeft w:val="0"/>
      <w:marRight w:val="0"/>
      <w:marTop w:val="0"/>
      <w:marBottom w:val="0"/>
      <w:divBdr>
        <w:top w:val="none" w:sz="0" w:space="0" w:color="auto"/>
        <w:left w:val="none" w:sz="0" w:space="0" w:color="auto"/>
        <w:bottom w:val="none" w:sz="0" w:space="0" w:color="auto"/>
        <w:right w:val="none" w:sz="0" w:space="0" w:color="auto"/>
      </w:divBdr>
    </w:div>
    <w:div w:id="1018311089">
      <w:bodyDiv w:val="1"/>
      <w:marLeft w:val="0"/>
      <w:marRight w:val="0"/>
      <w:marTop w:val="0"/>
      <w:marBottom w:val="0"/>
      <w:divBdr>
        <w:top w:val="none" w:sz="0" w:space="0" w:color="auto"/>
        <w:left w:val="none" w:sz="0" w:space="0" w:color="auto"/>
        <w:bottom w:val="none" w:sz="0" w:space="0" w:color="auto"/>
        <w:right w:val="none" w:sz="0" w:space="0" w:color="auto"/>
      </w:divBdr>
    </w:div>
    <w:div w:id="20883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Khorsheed</dc:creator>
  <cp:keywords>, docId:0A031C80505E14CE28486FFCA40B8BA7</cp:keywords>
  <dc:description/>
  <cp:lastModifiedBy>Ilse Van der Straeten</cp:lastModifiedBy>
  <cp:revision>2</cp:revision>
  <dcterms:created xsi:type="dcterms:W3CDTF">2023-05-12T09:50:00Z</dcterms:created>
  <dcterms:modified xsi:type="dcterms:W3CDTF">2023-05-12T09:50:00Z</dcterms:modified>
</cp:coreProperties>
</file>