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A6F4" w14:textId="77777777" w:rsidR="00764C42" w:rsidRPr="006603AB" w:rsidRDefault="00764C42" w:rsidP="00764C42">
      <w:pPr>
        <w:jc w:val="center"/>
        <w:rPr>
          <w:rFonts w:cstheme="minorHAnsi"/>
          <w:b/>
          <w:bCs/>
          <w:color w:val="000000" w:themeColor="text1"/>
        </w:rPr>
      </w:pPr>
    </w:p>
    <w:p w14:paraId="36B7B376" w14:textId="77777777" w:rsidR="006A0B93" w:rsidRPr="006603AB" w:rsidRDefault="00000000">
      <w:pPr>
        <w:jc w:val="center"/>
        <w:rPr>
          <w:rFonts w:cstheme="minorHAnsi"/>
          <w:b/>
          <w:bCs/>
          <w:color w:val="000000" w:themeColor="text1"/>
          <w:lang w:val="fr-BE"/>
        </w:rPr>
      </w:pPr>
      <w:r w:rsidRPr="006603AB">
        <w:rPr>
          <w:rFonts w:cstheme="minorHAnsi"/>
          <w:b/>
          <w:bCs/>
          <w:color w:val="000000" w:themeColor="text1"/>
          <w:lang w:val="fr-BE"/>
        </w:rPr>
        <w:t>NE PAS NUIRE</w:t>
      </w:r>
    </w:p>
    <w:p w14:paraId="1D9E7DC7" w14:textId="77777777" w:rsidR="00764C42" w:rsidRPr="006603AB" w:rsidRDefault="00764C42" w:rsidP="00764C42">
      <w:pPr>
        <w:jc w:val="center"/>
        <w:rPr>
          <w:rFonts w:cstheme="minorHAnsi"/>
          <w:b/>
          <w:bCs/>
          <w:color w:val="000000" w:themeColor="text1"/>
          <w:lang w:val="fr-BE"/>
        </w:rPr>
      </w:pPr>
    </w:p>
    <w:p w14:paraId="644BF06A" w14:textId="77777777" w:rsidR="00764C42" w:rsidRPr="006603AB" w:rsidRDefault="00764C42" w:rsidP="00764C42">
      <w:pPr>
        <w:jc w:val="center"/>
        <w:rPr>
          <w:rFonts w:cstheme="minorHAnsi"/>
          <w:b/>
          <w:bCs/>
          <w:color w:val="000000" w:themeColor="text1"/>
          <w:lang w:val="fr-BE"/>
        </w:rPr>
      </w:pPr>
    </w:p>
    <w:p w14:paraId="50530A64"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59264" behindDoc="1" locked="0" layoutInCell="1" allowOverlap="1" wp14:anchorId="72E8D7EC" wp14:editId="69B07D5B">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1CC29026" w14:textId="77777777" w:rsidR="00764C42" w:rsidRPr="006603AB" w:rsidRDefault="00764C42" w:rsidP="00764C42">
      <w:pPr>
        <w:jc w:val="center"/>
        <w:rPr>
          <w:rFonts w:cstheme="minorHAnsi"/>
          <w:b/>
          <w:bCs/>
          <w:color w:val="000000" w:themeColor="text1"/>
          <w:lang w:val="fr-BE"/>
        </w:rPr>
      </w:pPr>
    </w:p>
    <w:p w14:paraId="7A264714" w14:textId="77777777" w:rsidR="006603AB" w:rsidRPr="006603AB" w:rsidRDefault="006603AB" w:rsidP="006603AB">
      <w:pPr>
        <w:jc w:val="center"/>
        <w:rPr>
          <w:rFonts w:cstheme="minorHAnsi"/>
          <w:b/>
          <w:bCs/>
          <w:color w:val="000000" w:themeColor="text1"/>
          <w:lang w:val="en-BE"/>
        </w:rPr>
      </w:pPr>
      <w:r w:rsidRPr="006603AB">
        <w:rPr>
          <w:rFonts w:cstheme="minorHAnsi"/>
          <w:b/>
          <w:bCs/>
          <w:color w:val="000000" w:themeColor="text1"/>
          <w:lang w:val="fr-BE"/>
        </w:rPr>
        <w:tab/>
        <w:t xml:space="preserve">DONNER LA PRIORITÉ À L'INTÉRÊT SUPÉRIEUR DE L'ENFANT </w:t>
      </w:r>
    </w:p>
    <w:p w14:paraId="545602A6" w14:textId="77777777" w:rsidR="00764C42" w:rsidRPr="006603AB" w:rsidRDefault="00764C42" w:rsidP="00764C42">
      <w:pPr>
        <w:jc w:val="center"/>
        <w:rPr>
          <w:rFonts w:cstheme="minorHAnsi"/>
          <w:b/>
          <w:bCs/>
          <w:color w:val="000000" w:themeColor="text1"/>
          <w:lang w:val="en-BE"/>
        </w:rPr>
      </w:pPr>
    </w:p>
    <w:p w14:paraId="02B06D67" w14:textId="77777777" w:rsidR="00764C42" w:rsidRPr="006603AB" w:rsidRDefault="00764C42" w:rsidP="00764C42">
      <w:pPr>
        <w:jc w:val="center"/>
        <w:rPr>
          <w:rFonts w:cstheme="minorHAnsi"/>
          <w:b/>
          <w:bCs/>
          <w:color w:val="000000" w:themeColor="text1"/>
          <w:lang w:val="fr-BE"/>
        </w:rPr>
      </w:pPr>
    </w:p>
    <w:p w14:paraId="4561CCC1"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61312" behindDoc="1" locked="0" layoutInCell="1" allowOverlap="1" wp14:anchorId="32C5F961" wp14:editId="6FFCD899">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53F8D4C4" w14:textId="77777777" w:rsidR="00764C42" w:rsidRPr="006603AB" w:rsidRDefault="00764C42" w:rsidP="00764C42">
      <w:pPr>
        <w:jc w:val="center"/>
        <w:rPr>
          <w:rFonts w:cstheme="minorHAnsi"/>
          <w:b/>
          <w:bCs/>
          <w:color w:val="000000" w:themeColor="text1"/>
          <w:lang w:val="fr-BE"/>
        </w:rPr>
      </w:pPr>
    </w:p>
    <w:p w14:paraId="0C074D15" w14:textId="77777777" w:rsidR="006A0B93" w:rsidRPr="006603AB" w:rsidRDefault="00000000">
      <w:pPr>
        <w:jc w:val="center"/>
        <w:rPr>
          <w:rFonts w:cstheme="minorHAnsi"/>
          <w:b/>
          <w:bCs/>
          <w:color w:val="000000" w:themeColor="text1"/>
          <w:lang w:val="fr-BE"/>
        </w:rPr>
      </w:pPr>
      <w:r w:rsidRPr="006603AB">
        <w:rPr>
          <w:rFonts w:cstheme="minorHAnsi"/>
          <w:b/>
          <w:bCs/>
          <w:color w:val="000000" w:themeColor="text1"/>
          <w:lang w:val="fr-BE"/>
        </w:rPr>
        <w:t>NON-DISCRIMINATION</w:t>
      </w:r>
    </w:p>
    <w:p w14:paraId="0F24C4FF" w14:textId="77777777" w:rsidR="00764C42" w:rsidRPr="006603AB" w:rsidRDefault="00764C42" w:rsidP="00764C42">
      <w:pPr>
        <w:jc w:val="center"/>
        <w:rPr>
          <w:rFonts w:cstheme="minorHAnsi"/>
          <w:b/>
          <w:bCs/>
          <w:color w:val="000000" w:themeColor="text1"/>
          <w:lang w:val="fr-BE"/>
        </w:rPr>
      </w:pPr>
    </w:p>
    <w:p w14:paraId="10A61E1E" w14:textId="77777777" w:rsidR="00764C42" w:rsidRPr="006603AB" w:rsidRDefault="00764C42" w:rsidP="00764C42">
      <w:pPr>
        <w:jc w:val="center"/>
        <w:rPr>
          <w:rFonts w:cstheme="minorHAnsi"/>
          <w:b/>
          <w:bCs/>
          <w:color w:val="000000" w:themeColor="text1"/>
          <w:lang w:val="fr-BE"/>
        </w:rPr>
      </w:pPr>
    </w:p>
    <w:p w14:paraId="4FDE1035"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63360" behindDoc="1" locked="0" layoutInCell="1" allowOverlap="1" wp14:anchorId="520E6808" wp14:editId="0DB9DDE4">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15209AA5" w14:textId="77777777" w:rsidR="00764C42" w:rsidRPr="006603AB" w:rsidRDefault="00764C42" w:rsidP="00764C42">
      <w:pPr>
        <w:jc w:val="center"/>
        <w:rPr>
          <w:rFonts w:cstheme="minorHAnsi"/>
          <w:b/>
          <w:bCs/>
          <w:color w:val="000000" w:themeColor="text1"/>
          <w:lang w:val="fr-BE"/>
        </w:rPr>
      </w:pPr>
    </w:p>
    <w:p w14:paraId="24DEF199" w14:textId="77777777" w:rsidR="006603AB" w:rsidRPr="006603AB" w:rsidRDefault="006603AB" w:rsidP="006603AB">
      <w:pPr>
        <w:jc w:val="center"/>
        <w:rPr>
          <w:rFonts w:cstheme="minorHAnsi"/>
          <w:b/>
          <w:bCs/>
          <w:color w:val="000000" w:themeColor="text1"/>
          <w:lang w:val="en-BE"/>
        </w:rPr>
      </w:pPr>
      <w:r w:rsidRPr="006603AB">
        <w:rPr>
          <w:rFonts w:cstheme="minorHAnsi"/>
          <w:b/>
          <w:bCs/>
          <w:color w:val="000000" w:themeColor="text1"/>
        </w:rPr>
        <w:tab/>
      </w:r>
      <w:r w:rsidRPr="006603AB">
        <w:rPr>
          <w:rFonts w:cstheme="minorHAnsi"/>
          <w:b/>
          <w:bCs/>
          <w:color w:val="000000" w:themeColor="text1"/>
          <w:lang w:val="fr-BE"/>
        </w:rPr>
        <w:t xml:space="preserve">OBTENIR LE CONSENTEMENT ÉCLAIRÉ ET/OU L'ASSENTIMENT ÉCLAIRÉ </w:t>
      </w:r>
    </w:p>
    <w:p w14:paraId="18308F60" w14:textId="77777777" w:rsidR="00764C42" w:rsidRPr="006603AB" w:rsidRDefault="00764C42" w:rsidP="00764C42">
      <w:pPr>
        <w:jc w:val="center"/>
        <w:rPr>
          <w:rFonts w:cstheme="minorHAnsi"/>
          <w:b/>
          <w:bCs/>
          <w:color w:val="000000" w:themeColor="text1"/>
          <w:lang w:val="en-BE"/>
        </w:rPr>
      </w:pPr>
    </w:p>
    <w:p w14:paraId="19F921DB" w14:textId="77777777" w:rsidR="00764C42" w:rsidRPr="006603AB" w:rsidRDefault="00764C42" w:rsidP="00764C42">
      <w:pPr>
        <w:jc w:val="center"/>
        <w:rPr>
          <w:rFonts w:cstheme="minorHAnsi"/>
          <w:b/>
          <w:bCs/>
          <w:color w:val="000000" w:themeColor="text1"/>
          <w:lang w:val="fr-BE"/>
        </w:rPr>
      </w:pPr>
    </w:p>
    <w:p w14:paraId="05948915"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65408" behindDoc="1" locked="0" layoutInCell="1" allowOverlap="1" wp14:anchorId="2E822548" wp14:editId="51DD1080">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265A9638" w14:textId="77777777" w:rsidR="006603AB" w:rsidRPr="006603AB" w:rsidRDefault="006603AB" w:rsidP="006603AB">
      <w:pPr>
        <w:jc w:val="center"/>
        <w:rPr>
          <w:rFonts w:cstheme="minorHAnsi"/>
          <w:b/>
          <w:bCs/>
          <w:color w:val="000000" w:themeColor="text1"/>
        </w:rPr>
      </w:pPr>
      <w:r w:rsidRPr="006603AB">
        <w:rPr>
          <w:rFonts w:cstheme="minorHAnsi"/>
          <w:b/>
          <w:bCs/>
          <w:color w:val="000000" w:themeColor="text1"/>
        </w:rPr>
        <w:tab/>
      </w:r>
    </w:p>
    <w:p w14:paraId="795091CF" w14:textId="6ED617C3" w:rsidR="006603AB" w:rsidRPr="006603AB" w:rsidRDefault="006603AB" w:rsidP="006603AB">
      <w:pPr>
        <w:jc w:val="center"/>
        <w:rPr>
          <w:rFonts w:cstheme="minorHAnsi"/>
          <w:b/>
          <w:bCs/>
          <w:color w:val="000000" w:themeColor="text1"/>
          <w:lang w:val="en-BE"/>
        </w:rPr>
      </w:pPr>
      <w:r w:rsidRPr="006603AB">
        <w:rPr>
          <w:rFonts w:cstheme="minorHAnsi"/>
          <w:b/>
          <w:bCs/>
          <w:color w:val="000000" w:themeColor="text1"/>
        </w:rPr>
        <w:t xml:space="preserve">RESPECTER LA CONFIDENTIALITÉ </w:t>
      </w:r>
    </w:p>
    <w:p w14:paraId="471B40D6" w14:textId="77777777" w:rsidR="00764C42" w:rsidRPr="006603AB" w:rsidRDefault="00764C42" w:rsidP="00764C42">
      <w:pPr>
        <w:jc w:val="center"/>
        <w:rPr>
          <w:rFonts w:cstheme="minorHAnsi"/>
          <w:b/>
          <w:bCs/>
          <w:color w:val="000000" w:themeColor="text1"/>
          <w:lang w:val="fr-BE"/>
        </w:rPr>
      </w:pPr>
    </w:p>
    <w:p w14:paraId="7B932BBA" w14:textId="77777777" w:rsidR="00764C42" w:rsidRPr="006603AB" w:rsidRDefault="00764C42" w:rsidP="00764C42">
      <w:pPr>
        <w:jc w:val="center"/>
        <w:rPr>
          <w:rFonts w:cstheme="minorHAnsi"/>
          <w:b/>
          <w:bCs/>
          <w:color w:val="000000" w:themeColor="text1"/>
          <w:lang w:val="fr-BE"/>
        </w:rPr>
      </w:pPr>
    </w:p>
    <w:p w14:paraId="5801848A" w14:textId="77777777" w:rsidR="00764C42" w:rsidRPr="006603AB" w:rsidRDefault="00764C42" w:rsidP="00764C42">
      <w:pPr>
        <w:jc w:val="center"/>
        <w:rPr>
          <w:rFonts w:cstheme="minorHAnsi"/>
          <w:b/>
          <w:bCs/>
          <w:color w:val="000000" w:themeColor="text1"/>
          <w:lang w:val="fr-BE"/>
        </w:rPr>
      </w:pPr>
    </w:p>
    <w:p w14:paraId="4D4699A5"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67456" behindDoc="1" locked="0" layoutInCell="1" allowOverlap="1" wp14:anchorId="28CED412" wp14:editId="21AA7AA7">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7C658514" w14:textId="16E43C19" w:rsidR="00764C42" w:rsidRPr="006603AB" w:rsidRDefault="006603AB" w:rsidP="006603AB">
      <w:pPr>
        <w:jc w:val="center"/>
        <w:rPr>
          <w:rFonts w:cstheme="minorHAnsi"/>
          <w:b/>
          <w:bCs/>
          <w:color w:val="000000" w:themeColor="text1"/>
          <w:lang w:val="fr-BE"/>
        </w:rPr>
      </w:pPr>
      <w:r w:rsidRPr="006603AB">
        <w:rPr>
          <w:rFonts w:cstheme="minorHAnsi"/>
          <w:b/>
          <w:bCs/>
          <w:color w:val="000000" w:themeColor="text1"/>
          <w:lang w:val="fr-BE"/>
        </w:rPr>
        <w:t>GARANTIR L'OBLIGATION DE RENDRE DES COMPTES</w:t>
      </w:r>
    </w:p>
    <w:p w14:paraId="5DAF3FC2" w14:textId="77777777" w:rsidR="00764C42" w:rsidRPr="006603AB" w:rsidRDefault="00764C42" w:rsidP="00764C42">
      <w:pPr>
        <w:jc w:val="center"/>
        <w:rPr>
          <w:rFonts w:cstheme="minorHAnsi"/>
          <w:b/>
          <w:bCs/>
          <w:color w:val="000000" w:themeColor="text1"/>
          <w:lang w:val="fr-BE"/>
        </w:rPr>
      </w:pPr>
    </w:p>
    <w:p w14:paraId="272DDA1B" w14:textId="77777777" w:rsidR="006A0B93" w:rsidRPr="006603AB" w:rsidRDefault="00000000">
      <w:pPr>
        <w:rPr>
          <w:rFonts w:cstheme="minorHAnsi"/>
          <w:color w:val="000000"/>
          <w:lang w:val="fr-BE"/>
        </w:rPr>
      </w:pPr>
      <w:r w:rsidRPr="006603AB">
        <w:rPr>
          <w:rFonts w:cstheme="minorHAnsi"/>
          <w:color w:val="000000"/>
          <w:lang w:val="fr-BE"/>
        </w:rPr>
        <w:lastRenderedPageBreak/>
        <w:t>Cela signifie qu'il faut veiller à ce que les actions et les interventions destinées à soutenir l'enfant (et sa famille) ne l'exposent pas à d'autres préjudices. À chaque étape du processus de gestion des dossiers, il faut veiller à ce que les enfants ou leurs familles ne subissent aucun préjudice du fait de la conduite de l'assistant social, des décisions prises ou des actions menées au nom de l'enfant ou de la famille.</w:t>
      </w:r>
    </w:p>
    <w:p w14:paraId="2515157A"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69504" behindDoc="1" locked="0" layoutInCell="1" allowOverlap="1" wp14:anchorId="2430106B" wp14:editId="62F291BD">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34E5B0BA" w14:textId="77777777" w:rsidR="006A0B93" w:rsidRPr="006603AB" w:rsidRDefault="00000000">
      <w:pPr>
        <w:rPr>
          <w:rFonts w:cstheme="minorHAnsi"/>
          <w:color w:val="000000"/>
          <w:lang w:val="fr-BE"/>
        </w:rPr>
      </w:pPr>
      <w:r w:rsidRPr="006603AB">
        <w:rPr>
          <w:rFonts w:cstheme="minorHAnsi"/>
          <w:color w:val="000000"/>
          <w:lang w:val="fr-BE"/>
        </w:rPr>
        <w:t>L'intérêt supérieur de l'enfant doit servir de base à toutes les décisions et actions prises, ainsi qu'à la manière dont les prestataires de services interagissent avec les enfants et leurs familles. Les assistants sociaux et leurs superviseurs doivent constamment évaluer les risques et les ressources de l'enfant et de son environnement, ainsi que les conséquences positives et négatives des actions, et en discuter avec l'enfant et les personnes qui s'occupent de lui lorsqu'ils prennent des décisions.</w:t>
      </w:r>
    </w:p>
    <w:p w14:paraId="6AB9AD61"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71552" behindDoc="1" locked="0" layoutInCell="1" allowOverlap="1" wp14:anchorId="0ECDFAB2" wp14:editId="0F173BE2">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703D4BF6" w14:textId="77777777" w:rsidR="006A0B93" w:rsidRPr="006603AB" w:rsidRDefault="00000000">
      <w:pPr>
        <w:pStyle w:val="NormalWeb"/>
        <w:spacing w:before="0" w:beforeAutospacing="0" w:after="0" w:afterAutospacing="0"/>
        <w:jc w:val="both"/>
        <w:rPr>
          <w:rFonts w:asciiTheme="minorHAnsi" w:hAnsiTheme="minorHAnsi" w:cstheme="minorHAnsi"/>
          <w:lang w:val="fr-BE"/>
        </w:rPr>
      </w:pPr>
      <w:r w:rsidRPr="006603AB">
        <w:rPr>
          <w:rFonts w:asciiTheme="minorHAnsi" w:hAnsiTheme="minorHAnsi" w:cstheme="minorHAnsi"/>
          <w:color w:val="000000"/>
          <w:lang w:val="fr-BE"/>
        </w:rPr>
        <w:t xml:space="preserve">Il s'agit de veiller à ce que les enfants ne fassent pas l'objet d'une discrimination (mauvais traitement ou refus de services) en raison de leurs caractéristiques individuelles ou d'un groupe auquel ils appartiennent (par exemple, le sexe, l'âge, le milieu socio-économique, la race, la religion, l'appartenance ethnique, le handicap, l'orientation sexuelle ou l'identité de genre). </w:t>
      </w:r>
    </w:p>
    <w:p w14:paraId="7A980184"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73600" behindDoc="1" locked="0" layoutInCell="1" allowOverlap="1" wp14:anchorId="09610FF1" wp14:editId="6BAD44EC">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347F2D8C" w14:textId="77777777" w:rsidR="006A0B93" w:rsidRPr="006603AB" w:rsidRDefault="00000000">
      <w:pPr>
        <w:pStyle w:val="NormalWeb"/>
        <w:spacing w:before="0" w:beforeAutospacing="0" w:after="0" w:afterAutospacing="0"/>
        <w:jc w:val="both"/>
        <w:rPr>
          <w:rFonts w:asciiTheme="minorHAnsi" w:hAnsiTheme="minorHAnsi" w:cstheme="minorHAnsi"/>
          <w:lang w:val="fr-BE"/>
        </w:rPr>
      </w:pPr>
      <w:r w:rsidRPr="006603AB">
        <w:rPr>
          <w:rFonts w:asciiTheme="minorHAnsi" w:hAnsiTheme="minorHAnsi" w:cstheme="minorHAnsi"/>
          <w:color w:val="000000"/>
          <w:lang w:val="fr-BE"/>
        </w:rPr>
        <w:t xml:space="preserve">L'accord volontaire d'une personne qui a la capacité de donner son consentement et qui exerce un choix libre et éclairé. En toutes circonstances, le consentement de l'enfant et de sa famille ou des personnes qui en ont la charge doit être demandé avant de fournir des services. Pour garantir un consentement éclairé, les travailleurs sociaux doivent s'assurer que les enfants et leurs familles comprennent parfaitement : les services et les options disponibles (par exemple, le processus de gestion de cas), les risques et les avantages potentiels liés à la prestation de services, les informations qui seront recueillies et la manière dont elles seront utilisées, ainsi que la confidentialité et ses limites. </w:t>
      </w:r>
    </w:p>
    <w:p w14:paraId="0E0332CC"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75648" behindDoc="1" locked="0" layoutInCell="1" allowOverlap="1" wp14:anchorId="713A10A9" wp14:editId="5B9E1835">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2BC074E8" w14:textId="77777777" w:rsidR="006A0B93" w:rsidRPr="006603AB" w:rsidRDefault="00000000">
      <w:pPr>
        <w:rPr>
          <w:rFonts w:cstheme="minorHAnsi"/>
          <w:color w:val="000000"/>
          <w:lang w:val="fr-BE"/>
        </w:rPr>
      </w:pPr>
      <w:r w:rsidRPr="006603AB">
        <w:rPr>
          <w:rFonts w:cstheme="minorHAnsi"/>
          <w:color w:val="000000"/>
          <w:lang w:val="fr-BE"/>
        </w:rPr>
        <w:t>La confidentialité est liée au partage d'informations sur la base du besoin de savoir. Le terme "besoin de savoir" décrit la limitation des informations considérées comme sensibles et leur partage uniquement avec les personnes qui ont besoin de ces informations pour protéger l'enfant. Toute information sensible et identifiante recueillie sur les enfants ne doit être communiquée qu'au plus petit nombre de personnes possible, selon le principe du besoin de savoir. Le respect de la confidentialité exige que les prestataires de services protègent les informations recueillies sur les clients et veillent à ce qu'elles ne soient accessibles qu'avec l'autorisation explicite du client.</w:t>
      </w:r>
    </w:p>
    <w:p w14:paraId="1151B5FC" w14:textId="77777777" w:rsidR="006A0B93" w:rsidRPr="006603AB" w:rsidRDefault="00000000">
      <w:pPr>
        <w:ind w:right="-180"/>
        <w:rPr>
          <w:rFonts w:cstheme="minorHAnsi"/>
          <w:lang w:val="fr-BE"/>
        </w:rPr>
      </w:pPr>
      <w:r w:rsidRPr="006603AB">
        <w:rPr>
          <w:rFonts w:cstheme="minorHAnsi"/>
          <w:noProof/>
          <w:lang w:eastAsia="da-DK"/>
        </w:rPr>
        <w:drawing>
          <wp:anchor distT="0" distB="0" distL="114300" distR="114300" simplePos="0" relativeHeight="251677696" behindDoc="1" locked="0" layoutInCell="1" allowOverlap="1" wp14:anchorId="5B1389FC" wp14:editId="17A1757F">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03AB">
        <w:rPr>
          <w:rFonts w:cstheme="minorHAnsi"/>
          <w:lang w:val="fr-BE"/>
        </w:rPr>
        <w:t>-----------------------------------------------------------------------------------------------------------------------------------</w:t>
      </w:r>
    </w:p>
    <w:p w14:paraId="06BF45E3" w14:textId="77777777" w:rsidR="006A0B93" w:rsidRPr="006603AB" w:rsidRDefault="00000000">
      <w:pPr>
        <w:rPr>
          <w:rFonts w:cstheme="minorHAnsi"/>
          <w:b/>
          <w:bCs/>
          <w:color w:val="000000" w:themeColor="text1"/>
          <w:lang w:val="fr-BE"/>
        </w:rPr>
      </w:pPr>
      <w:r w:rsidRPr="006603AB">
        <w:rPr>
          <w:rFonts w:cstheme="minorHAnsi"/>
          <w:color w:val="000000"/>
          <w:lang w:val="fr-BE"/>
        </w:rPr>
        <w:t>L'obligation de rendre compte fait référence au fait d'être tenu responsable de ses actions et des résultats de ces actions. Les agences et le personnel impliqués dans la gestion de cas sont responsables devant l'enfant, la famille et la communauté. Les agences et les personnes chargées de la gestion de cas doivent se conformer au cadre juridique et politique national. Ils devront également se conformer aux codes de conduite professionnels lorsqu'ils existent. En l'absence de cadre juridique, les principes directeurs et les normes de bonne pratique énoncés dans le CPMS constituent une base pour la pratique.</w:t>
      </w:r>
    </w:p>
    <w:sectPr w:rsidR="006A0B93" w:rsidRPr="00660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5"/>
    <w:rsid w:val="002C21C4"/>
    <w:rsid w:val="003C13E5"/>
    <w:rsid w:val="004874C2"/>
    <w:rsid w:val="006603AB"/>
    <w:rsid w:val="006A0B93"/>
    <w:rsid w:val="00764C42"/>
    <w:rsid w:val="00A74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5DB9"/>
  <w15:chartTrackingRefBased/>
  <w15:docId w15:val="{FF5C2E26-9324-450A-8B70-8A93334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4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3998">
      <w:bodyDiv w:val="1"/>
      <w:marLeft w:val="0"/>
      <w:marRight w:val="0"/>
      <w:marTop w:val="0"/>
      <w:marBottom w:val="0"/>
      <w:divBdr>
        <w:top w:val="none" w:sz="0" w:space="0" w:color="auto"/>
        <w:left w:val="none" w:sz="0" w:space="0" w:color="auto"/>
        <w:bottom w:val="none" w:sz="0" w:space="0" w:color="auto"/>
        <w:right w:val="none" w:sz="0" w:space="0" w:color="auto"/>
      </w:divBdr>
    </w:div>
    <w:div w:id="775295347">
      <w:bodyDiv w:val="1"/>
      <w:marLeft w:val="0"/>
      <w:marRight w:val="0"/>
      <w:marTop w:val="0"/>
      <w:marBottom w:val="0"/>
      <w:divBdr>
        <w:top w:val="none" w:sz="0" w:space="0" w:color="auto"/>
        <w:left w:val="none" w:sz="0" w:space="0" w:color="auto"/>
        <w:bottom w:val="none" w:sz="0" w:space="0" w:color="auto"/>
        <w:right w:val="none" w:sz="0" w:space="0" w:color="auto"/>
      </w:divBdr>
    </w:div>
    <w:div w:id="1018311089">
      <w:bodyDiv w:val="1"/>
      <w:marLeft w:val="0"/>
      <w:marRight w:val="0"/>
      <w:marTop w:val="0"/>
      <w:marBottom w:val="0"/>
      <w:divBdr>
        <w:top w:val="none" w:sz="0" w:space="0" w:color="auto"/>
        <w:left w:val="none" w:sz="0" w:space="0" w:color="auto"/>
        <w:bottom w:val="none" w:sz="0" w:space="0" w:color="auto"/>
        <w:right w:val="none" w:sz="0" w:space="0" w:color="auto"/>
      </w:divBdr>
    </w:div>
    <w:div w:id="1097480487">
      <w:bodyDiv w:val="1"/>
      <w:marLeft w:val="0"/>
      <w:marRight w:val="0"/>
      <w:marTop w:val="0"/>
      <w:marBottom w:val="0"/>
      <w:divBdr>
        <w:top w:val="none" w:sz="0" w:space="0" w:color="auto"/>
        <w:left w:val="none" w:sz="0" w:space="0" w:color="auto"/>
        <w:bottom w:val="none" w:sz="0" w:space="0" w:color="auto"/>
        <w:right w:val="none" w:sz="0" w:space="0" w:color="auto"/>
      </w:divBdr>
    </w:div>
    <w:div w:id="16469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Khorsheed</dc:creator>
  <cp:keywords>, docId:F8C632325E6F9259813C695EB533424B</cp:keywords>
  <dc:description/>
  <cp:lastModifiedBy>Ilse Van der Straeten</cp:lastModifiedBy>
  <cp:revision>2</cp:revision>
  <dcterms:created xsi:type="dcterms:W3CDTF">2023-05-11T12:58:00Z</dcterms:created>
  <dcterms:modified xsi:type="dcterms:W3CDTF">2023-05-11T12:58:00Z</dcterms:modified>
</cp:coreProperties>
</file>